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23" w:rsidRDefault="00902E23" w:rsidP="00902E23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10178-85 Портландцемент и </w:t>
      </w:r>
      <w:proofErr w:type="spellStart"/>
      <w:r>
        <w:rPr>
          <w:rFonts w:ascii="Arial" w:hAnsi="Arial" w:cs="Arial"/>
          <w:color w:val="2D2D2D"/>
          <w:spacing w:val="2"/>
          <w:sz w:val="46"/>
          <w:szCs w:val="46"/>
        </w:rPr>
        <w:t>шлакопортландцемент</w:t>
      </w:r>
      <w:proofErr w:type="spell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 (С Изменениями N 1, 2)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10178-85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Ж12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ПОРТЛАНДЦЕМЕНТ И ШЛАКОПОРТЛАНДЦЕМЕНТ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Технические условия</w:t>
      </w:r>
    </w:p>
    <w:p w:rsidR="00902E23" w:rsidRDefault="00902E23" w:rsidP="00902E2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902E23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Portland cement and </w:t>
      </w:r>
      <w:proofErr w:type="spellStart"/>
      <w:proofErr w:type="gramStart"/>
      <w:r w:rsidRPr="00902E2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portland</w:t>
      </w:r>
      <w:proofErr w:type="spellEnd"/>
      <w:proofErr w:type="gramEnd"/>
      <w:r w:rsidRPr="00902E23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proofErr w:type="spellStart"/>
      <w:r w:rsidRPr="00902E23">
        <w:rPr>
          <w:rFonts w:ascii="Arial" w:hAnsi="Arial" w:cs="Arial"/>
          <w:color w:val="3C3C3C"/>
          <w:spacing w:val="2"/>
          <w:sz w:val="34"/>
          <w:szCs w:val="34"/>
          <w:lang w:val="en-US"/>
        </w:rPr>
        <w:t>blastfurnace</w:t>
      </w:r>
      <w:proofErr w:type="spellEnd"/>
      <w:r w:rsidRPr="00902E23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slag cement.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 91.100.10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57 3100, 57 3290,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57 3310, 57 3320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1987-01-01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промышленности строительных материалов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делам строительства от 10.07.85 N 116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8F4648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принято Межгосударственной научно-технической комиссией по стандартизации, техническому нормированию и сертификации в строительстве (МНТКС) 20.05.98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а принятие изменения проголосовали: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27"/>
        <w:gridCol w:w="5528"/>
      </w:tblGrid>
      <w:tr w:rsidR="00902E23" w:rsidTr="00902E23">
        <w:trPr>
          <w:trHeight w:val="15"/>
        </w:trPr>
        <w:tc>
          <w:tcPr>
            <w:tcW w:w="4620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</w:tr>
      <w:tr w:rsidR="00902E23" w:rsidTr="00902E2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органа государственного управления строительством</w:t>
            </w:r>
          </w:p>
        </w:tc>
      </w:tr>
      <w:tr w:rsidR="00902E23" w:rsidTr="00902E23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Армения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градостроительства Республики Армения</w:t>
            </w:r>
          </w:p>
        </w:tc>
      </w:tr>
      <w:tr w:rsidR="00902E23" w:rsidTr="00902E23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Беларусь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>
              <w:rPr>
                <w:color w:val="2D2D2D"/>
                <w:sz w:val="23"/>
                <w:szCs w:val="23"/>
              </w:rPr>
              <w:t>Минстройархитектуры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Республики Беларусь</w:t>
            </w:r>
          </w:p>
        </w:tc>
      </w:tr>
      <w:tr w:rsidR="00902E23" w:rsidTr="00902E23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Казахстан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Агентство строительства и архитектурно-градостроительного контроля Республики Казахстан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02E23" w:rsidTr="00902E23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Киргизская Республика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Государственная инспекция по архитектуре и строительству при Правительстве Киргизской Республики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02E23" w:rsidTr="00902E23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Молдова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Министерство территориального развития, строительства и коммунального хозяйства Республики Молдова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02E23" w:rsidTr="00902E23"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Российская Федерация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 России</w:t>
            </w:r>
          </w:p>
        </w:tc>
      </w:tr>
      <w:tr w:rsidR="00902E23" w:rsidTr="00902E23"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Республика Таджикистан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Госстрой Республики Таджикистан</w:t>
            </w:r>
          </w:p>
        </w:tc>
      </w:tr>
    </w:tbl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5683-86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10178-76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53"/>
        <w:gridCol w:w="3602"/>
      </w:tblGrid>
      <w:tr w:rsidR="00902E23" w:rsidTr="00902E23">
        <w:trPr>
          <w:trHeight w:val="15"/>
        </w:trPr>
        <w:tc>
          <w:tcPr>
            <w:tcW w:w="7022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</w:tr>
      <w:tr w:rsidR="00902E23" w:rsidTr="00902E2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пункта, приложения</w:t>
            </w:r>
          </w:p>
        </w:tc>
      </w:tr>
      <w:tr w:rsidR="00902E23" w:rsidTr="00902E23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F4648">
              <w:rPr>
                <w:sz w:val="23"/>
                <w:szCs w:val="23"/>
              </w:rPr>
              <w:t>ГОСТ 310.1-76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  <w:tr w:rsidR="00902E23" w:rsidTr="00902E23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F4648">
              <w:rPr>
                <w:sz w:val="23"/>
                <w:szCs w:val="23"/>
              </w:rPr>
              <w:t>ГОСТ 310.2-76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  <w:tr w:rsidR="00902E23" w:rsidTr="00902E23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F4648">
              <w:rPr>
                <w:sz w:val="23"/>
                <w:szCs w:val="23"/>
              </w:rPr>
              <w:t>ГОСТ 310.3-76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</w:t>
            </w:r>
          </w:p>
        </w:tc>
      </w:tr>
      <w:tr w:rsidR="00902E23" w:rsidTr="00902E23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F4648">
              <w:rPr>
                <w:sz w:val="23"/>
                <w:szCs w:val="23"/>
              </w:rPr>
              <w:t>ГОСТ 310.4-81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3.1, приложение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</w:p>
        </w:tc>
      </w:tr>
      <w:tr w:rsidR="00902E23" w:rsidTr="00902E23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F4648">
              <w:rPr>
                <w:sz w:val="23"/>
                <w:szCs w:val="23"/>
              </w:rPr>
              <w:t>ГОСТ 3476-74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902E23" w:rsidTr="00902E23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F4648">
              <w:rPr>
                <w:sz w:val="23"/>
                <w:szCs w:val="23"/>
              </w:rPr>
              <w:t>ГОСТ 4013-82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1.5</w:t>
            </w:r>
          </w:p>
        </w:tc>
      </w:tr>
      <w:tr w:rsidR="00902E23" w:rsidTr="00902E23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F4648">
              <w:rPr>
                <w:sz w:val="23"/>
                <w:szCs w:val="23"/>
              </w:rPr>
              <w:t>ГОСТ 5382-91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902E23" w:rsidTr="00902E23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F4648">
              <w:rPr>
                <w:sz w:val="23"/>
                <w:szCs w:val="23"/>
              </w:rPr>
              <w:t>ГОСТ 6613-86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1.10</w:t>
            </w:r>
          </w:p>
        </w:tc>
      </w:tr>
      <w:tr w:rsidR="00902E23" w:rsidTr="00902E23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8F4648">
              <w:rPr>
                <w:sz w:val="23"/>
                <w:szCs w:val="23"/>
              </w:rPr>
              <w:lastRenderedPageBreak/>
              <w:t>ГОСТ 30515-97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Вводная часть, 1.2, 4.1</w:t>
            </w:r>
          </w:p>
        </w:tc>
      </w:tr>
      <w:tr w:rsidR="00902E23" w:rsidTr="00902E23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proofErr w:type="spellStart"/>
            <w:r w:rsidRPr="008F4648">
              <w:rPr>
                <w:sz w:val="23"/>
                <w:szCs w:val="23"/>
              </w:rPr>
              <w:t>СНиП</w:t>
            </w:r>
            <w:proofErr w:type="spellEnd"/>
            <w:r w:rsidRPr="008F4648">
              <w:rPr>
                <w:sz w:val="23"/>
                <w:szCs w:val="23"/>
              </w:rPr>
              <w:t xml:space="preserve"> 82-02-95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Приложение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А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</w:tbl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(декабрь 2004 г.) с Изменениями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апреле 1988 г., ноябре 1998 г. (ИУС 8-88, 3-99),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Поправкой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(ИУС 6-2001)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ПЕРЕИЗДАНИЕ (по состоянию на октябрь 2008 г.)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цементы общестроительного назначения на основе портландцементного клинкера.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цементы, к которым предъявляются специальные требования и которые изготовляются по соответствующим стандартам и техническим условиям.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Классификация, термины и определения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30515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Цемент должен изготовляться в соответствии с требованиями настоящего стандарта по технологическим регламентам, утвержденным в порядке, установленном министерством-изготовителем.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1.2. По вещественному составу цемент подразделяют на следующие типы: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портландцемент (без минеральных добавок);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портландцемент с добавками (с активными минеральными добавками не более 20%);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шлакопортландцемент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(с добавками гранулированного шлака более 20%).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8F464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По прочности при сжатии в 28-суточном возрасте цемент подразделяют на марки: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портландцемент - 400, 500, 550 и 600;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шлакопортландцемент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- 300, 400 и 500;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портландцемент быстротвердеющий - 400 и 500;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шлакопортландцемент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быстротвердеющий - 400.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Примечание. Допускается с разрешения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минстройматериалов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выпускать портландцемент с минеральными добавками марки 300.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Условное обозначение цемента должно состоять из: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наименования типа цемента - портландцемент,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шлакопортландцемент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Допускается применять сокращенное обозначение наименования - соответственно ПЦ и ШПЦ;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марки цемента - по п.1.3;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обозначения максимального содержания добавок в портландцементе по п.1.6: Д0, Д5, Д20;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быстротвердеющего цемента - Б;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обозначения пластификации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гидрофобизации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цемента -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ПЛ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ГФ;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обозначения цемента, полученного на основе клинкера нормированного состава, - 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обозначения настоящего стандарта.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условного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обозначения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портландцемента марки 400, с добавками до 20%, быстротвердеющего, пластифицированного: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Портландцемент 400-Д20-Б -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ПЛ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10178-85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Допускается обозначение (за исключением случаев поставки цемента на экспорт):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ПЦ 400-Д20-Б - </w:t>
      </w:r>
      <w:proofErr w:type="gramStart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ПЛ</w:t>
      </w:r>
      <w:proofErr w:type="gramEnd"/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 xml:space="preserve"> ГОСТ 10178-85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8F4648">
        <w:rPr>
          <w:rFonts w:ascii="Arial" w:hAnsi="Arial" w:cs="Arial"/>
          <w:spacing w:val="2"/>
          <w:sz w:val="23"/>
          <w:szCs w:val="23"/>
        </w:rPr>
        <w:t>Поправка.</w:t>
      </w:r>
      <w:proofErr w:type="gramEnd"/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ИУС N 6-2001).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1.5.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производстве цементов применяют: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клинкер, по химическому составу соответствующий технологическому регламенту.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Массовая доля оксида магния (</w:t>
      </w:r>
      <w:r w:rsidR="000F5CD7" w:rsidRPr="000F5CD7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0178-85 Портландцемент и шлакопортландцемент. Технические условия (С Изменениями N 1, 2)" style="width:27.65pt;height:13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в клинкере не должна быть более 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отдельных предприятий по перечню, установленному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Минстройматериалов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СССР, в связи с особенностью химического состава используемого сырья допускается содержание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F5CD7" w:rsidRPr="000F5C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10178-85 Портландцемент и шлакопортландцемент. Технические условия (С Изменениями N 1, 2)" style="width:27.65pt;height:13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клинкере свыше 5%, но не более 6% при условии обеспечения равномерности изменения объема цемента при испытаниях в автоклаве;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гипсовый камень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4013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Допускается применение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фосфогипса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борогипса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фторогипса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 соответствующей нормативно-технической документации;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гранулированные доменные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электротермофосфорные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шлаки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3476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другие активные минеральные добавки по соответствующей нормативно-технической документации;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добавки, регулирующие основные свойства цемента, и технологические добавки по соответствующей нормативно-технической документации.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1.6. Массовая доля в цементах активных минеральных добавок должна соответствовать значениям, указанным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58"/>
        <w:gridCol w:w="1040"/>
        <w:gridCol w:w="2806"/>
        <w:gridCol w:w="1894"/>
        <w:gridCol w:w="1257"/>
      </w:tblGrid>
      <w:tr w:rsidR="00902E23" w:rsidTr="00902E23">
        <w:trPr>
          <w:trHeight w:val="15"/>
        </w:trPr>
        <w:tc>
          <w:tcPr>
            <w:tcW w:w="221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</w:tr>
      <w:tr w:rsidR="00902E23" w:rsidTr="00902E2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цемента</w:t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Активная минеральная добавка, % по массе</w:t>
            </w:r>
          </w:p>
        </w:tc>
      </w:tr>
      <w:tr w:rsidR="00902E23" w:rsidTr="00902E23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Всего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0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том числе</w:t>
            </w:r>
          </w:p>
        </w:tc>
      </w:tr>
      <w:tr w:rsidR="00902E23" w:rsidTr="00902E23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доменные гранулированные и </w:t>
            </w:r>
            <w:proofErr w:type="spellStart"/>
            <w:r>
              <w:rPr>
                <w:color w:val="2D2D2D"/>
                <w:sz w:val="23"/>
                <w:szCs w:val="23"/>
              </w:rPr>
              <w:t>электротермофосфорные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шлаки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осадочного происхождения, кроме </w:t>
            </w:r>
            <w:proofErr w:type="spellStart"/>
            <w:r>
              <w:rPr>
                <w:color w:val="2D2D2D"/>
                <w:sz w:val="23"/>
                <w:szCs w:val="23"/>
              </w:rPr>
              <w:t>глиежа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прочие активные, включая </w:t>
            </w:r>
            <w:proofErr w:type="spellStart"/>
            <w:r>
              <w:rPr>
                <w:color w:val="2D2D2D"/>
                <w:sz w:val="23"/>
                <w:szCs w:val="23"/>
              </w:rPr>
              <w:t>глиеж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02E23" w:rsidTr="00902E2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ПЦ-Д0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8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допускаются</w:t>
            </w:r>
          </w:p>
        </w:tc>
      </w:tr>
      <w:tr w:rsidR="00902E23" w:rsidTr="00902E2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ПЦ-Д5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5</w:t>
            </w:r>
          </w:p>
        </w:tc>
      </w:tr>
      <w:tr w:rsidR="00902E23" w:rsidTr="00902E2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ПЦ-Д20, ПЦ-Д20-Б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5 до 20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20</w:t>
            </w:r>
          </w:p>
        </w:tc>
      </w:tr>
      <w:tr w:rsidR="00902E23" w:rsidTr="00902E2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ШПЦ, ШПЦ-Б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 до 80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Св. 20 до 80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10</w:t>
            </w:r>
          </w:p>
        </w:tc>
      </w:tr>
    </w:tbl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замена части минеральных добавок в цементах всех типов добавками, ускоряющими твердение или повышающими прочность цемента и не ухудшающими его строительно-технические свойства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кренты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сульфоалюминатные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сульфоферритные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продукты, обожженные алуниты и каолины). Суммарная массовая доля этих добавок не должна быть более 5% массы цемента.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 w:rsidRPr="008F4648">
        <w:rPr>
          <w:rFonts w:ascii="Arial" w:hAnsi="Arial" w:cs="Arial"/>
          <w:spacing w:val="2"/>
          <w:sz w:val="23"/>
          <w:szCs w:val="23"/>
        </w:rPr>
        <w:t>Поправка.</w:t>
      </w:r>
      <w:proofErr w:type="gramEnd"/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ИУС N 6-2001).</w:t>
      </w:r>
      <w:proofErr w:type="gramEnd"/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1.7. Предел прочности цемента при изгибе и сжатии должен быть не менее значений, указанных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67"/>
        <w:gridCol w:w="2224"/>
        <w:gridCol w:w="1178"/>
        <w:gridCol w:w="1305"/>
        <w:gridCol w:w="1214"/>
        <w:gridCol w:w="1467"/>
      </w:tblGrid>
      <w:tr w:rsidR="00902E23" w:rsidTr="00902E23">
        <w:trPr>
          <w:trHeight w:val="15"/>
        </w:trPr>
        <w:tc>
          <w:tcPr>
            <w:tcW w:w="221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</w:tr>
      <w:tr w:rsidR="00902E23" w:rsidTr="00902E2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цемента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Гарантированная</w:t>
            </w:r>
            <w:r>
              <w:rPr>
                <w:color w:val="2D2D2D"/>
                <w:sz w:val="23"/>
                <w:szCs w:val="23"/>
              </w:rPr>
              <w:br/>
              <w:t>марка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прочности, 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0F5CD7" w:rsidRPr="000F5CD7">
              <w:rPr>
                <w:color w:val="2D2D2D"/>
                <w:sz w:val="23"/>
                <w:szCs w:val="23"/>
              </w:rPr>
              <w:pict>
                <v:shape id="_x0000_i1027" type="#_x0000_t75" alt="ГОСТ 10178-85 Портландцемент и шлакопортландцемент. Технические условия (С Изменениями N 1, 2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902E23" w:rsidTr="00902E23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 изгибе в возрасте, </w:t>
            </w:r>
            <w:proofErr w:type="spellStart"/>
            <w:r>
              <w:rPr>
                <w:color w:val="2D2D2D"/>
                <w:sz w:val="23"/>
                <w:szCs w:val="23"/>
              </w:rPr>
              <w:t>сут</w:t>
            </w:r>
            <w:proofErr w:type="spell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 сжатии в возрасте, </w:t>
            </w:r>
            <w:proofErr w:type="spellStart"/>
            <w:r>
              <w:rPr>
                <w:color w:val="2D2D2D"/>
                <w:sz w:val="23"/>
                <w:szCs w:val="23"/>
              </w:rPr>
              <w:t>сут</w:t>
            </w:r>
            <w:proofErr w:type="spellEnd"/>
          </w:p>
        </w:tc>
      </w:tr>
      <w:tr w:rsidR="00902E23" w:rsidTr="00902E23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</w:tr>
      <w:tr w:rsidR="00902E23" w:rsidTr="00902E2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ПЦ-Д0, ПЦ-Д5,</w:t>
            </w:r>
          </w:p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ПЦ-Д20, ШПЦ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 (45)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 (300)</w:t>
            </w:r>
          </w:p>
        </w:tc>
      </w:tr>
      <w:tr w:rsidR="00902E23" w:rsidTr="00902E23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 (55)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 (400)</w:t>
            </w:r>
          </w:p>
        </w:tc>
      </w:tr>
      <w:tr w:rsidR="00902E23" w:rsidTr="00902E23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 (60)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 (500)</w:t>
            </w:r>
          </w:p>
        </w:tc>
      </w:tr>
      <w:tr w:rsidR="00902E23" w:rsidTr="00902E23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 (62)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53,9 (550)</w:t>
            </w:r>
          </w:p>
        </w:tc>
      </w:tr>
      <w:tr w:rsidR="00902E23" w:rsidTr="00902E23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 (65)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58,8 (600)</w:t>
            </w:r>
          </w:p>
        </w:tc>
      </w:tr>
      <w:tr w:rsidR="00902E23" w:rsidTr="00902E2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ПЦ-Д20-Б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3,9 (40)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 (55)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 (250)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 (400)</w:t>
            </w:r>
          </w:p>
        </w:tc>
      </w:tr>
      <w:tr w:rsidR="00902E23" w:rsidTr="00902E23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4,4 (45)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 (60)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27,5 (280)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49,0 (500)</w:t>
            </w:r>
          </w:p>
        </w:tc>
      </w:tr>
      <w:tr w:rsidR="00902E23" w:rsidTr="00902E2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ШПЦ-Б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3,4 (35)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5,4 (55)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 (220)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39,2 (400)</w:t>
            </w:r>
          </w:p>
        </w:tc>
      </w:tr>
    </w:tbl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Изготовитель должен определять активность при пропаривании цемента каждой партии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1.2-1.7.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1.8. Цемент должен показывать равномерность изменения объема при испытании образцов кипячением в воде, а при содержании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F5CD7" w:rsidRPr="000F5C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10178-85 Портландцемент и шлакопортландцемент. Технические условия (С Изменениями N 1, 2)" style="width:27.65pt;height:13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клинкере более 5%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 автоклаве.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1.9. Начало схватывания цемента должно наступать не ранее 45 мин, а конец - не позднее 10 ч от начала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затворения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1.10. Тонкость помола цемента должна быть такой, чтобы при просеивании пробы цемента сквозь сито с сеткой N 008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6613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проходило не менее 85% массы просеиваемой пробы.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1.11. Массовая доля ангидрида серной кислоты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0F5CD7" w:rsidRPr="000F5C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10178-85 Портландцемент и шлакопортландцемент. Технические условия (С Изменениями N 1, 2)" style="width:21.75pt;height:13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 цементе должна соответствовать требованиям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84"/>
        <w:gridCol w:w="1611"/>
        <w:gridCol w:w="1460"/>
      </w:tblGrid>
      <w:tr w:rsidR="00902E23" w:rsidTr="00902E23">
        <w:trPr>
          <w:trHeight w:val="15"/>
        </w:trPr>
        <w:tc>
          <w:tcPr>
            <w:tcW w:w="7577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</w:tr>
      <w:tr w:rsidR="00902E23" w:rsidTr="00902E2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цемента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0F5CD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F5CD7">
              <w:rPr>
                <w:color w:val="2D2D2D"/>
                <w:sz w:val="23"/>
                <w:szCs w:val="23"/>
              </w:rPr>
              <w:pict>
                <v:shape id="_x0000_i1030" type="#_x0000_t75" alt="ГОСТ 10178-85 Портландцемент и шлакопортландцемент. Технические условия (С Изменениями N 1, 2)" style="width:21.75pt;height:13.4pt"/>
              </w:pict>
            </w:r>
            <w:r w:rsidR="00902E23">
              <w:rPr>
                <w:color w:val="2D2D2D"/>
                <w:sz w:val="23"/>
                <w:szCs w:val="23"/>
              </w:rPr>
              <w:t>, % по массе</w:t>
            </w:r>
            <w:r w:rsidR="00902E23"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02E23" w:rsidTr="00902E23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</w:tr>
      <w:tr w:rsidR="00902E23" w:rsidTr="00902E2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 400-Д0, ПЦ 500-Д0, ПЦ 300-Д5, ПЦ 400-Д5,</w:t>
            </w:r>
            <w:r>
              <w:rPr>
                <w:color w:val="2D2D2D"/>
                <w:sz w:val="23"/>
                <w:szCs w:val="23"/>
              </w:rPr>
              <w:br/>
              <w:t>ПЦ 500-Д5, ПЦ 300-Д20, ПЦ 400-Д20, ПЦ 500-Д20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</w:tr>
      <w:tr w:rsidR="00902E23" w:rsidTr="00902E2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 550-Д0, ПЦ 600-Д0, ПЦ 550-Д5, ПЦ 600-Д5,</w:t>
            </w:r>
            <w:r>
              <w:rPr>
                <w:color w:val="2D2D2D"/>
                <w:sz w:val="23"/>
                <w:szCs w:val="23"/>
              </w:rPr>
              <w:br/>
              <w:t>ПЦ 550-Д20, ПЦ 600-Д20, ПЦ 400-Д20-Б, ПЦ 500-Д20-Б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</w:tr>
      <w:tr w:rsidR="00902E23" w:rsidTr="00902E23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ШПЦ 300, ШПЦ 400, ШПЦ 500, ШПЦ 400-Б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</w:tr>
    </w:tbl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1.12. Допускается введение в цемент при его помоле специальных пластифицирующих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гидрофобизирующих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поверхностно-активных добавок в количестве не более 0,3% массы цемента в пересчете на сухое вещество добавки.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Пластифицированный или гидрофобный цемент должен поставляться по согласованию изготовителя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Пластифицированный или гидрофобный цемент не должен поставляться потребителям, использующим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суперпластификаторы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при приготовлении бетонных смесей.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Подвижность цементно-песчаного раствора состава 1:3 из пластифицированных цементов всех типов должна быть такой, чтобы при водоцементном отношении, равном 0,4,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расплыв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стандартного конуса был не менее 135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Гидрофобный цемент не должен впитывать в себя воду в течение 5 мин от момента нанесения капли воды на поверхность цемента.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Поправка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ИУС N 6-2001).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1.13. При производстве цемента для интенсификации процесса помола допускается введение технологических добавок, не ухудшающих качества цемента, в количестве не более 1%, в том числе органических не более 0,15% массы цемента.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Эффективность применения технологических добавок, а также отсутствие отрицательного влияния их на свойства бетона должны быть подтверждены результатами испытаний цемента и бетона.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1.14. Для бетона дорожных и аэродромных покрытий, железобетонных напорных и безнапорных труб, железобетонных шпал, мостовых конструкций, стоек опор высоковольтных линий электропередач, контактной сети железнодорожного транспорта и освещения должен поставляться цемент, изготовляемый на основе клинкера нормированного состава с содержанием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трехкальциевого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алюмината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0F5CD7" w:rsidRPr="000F5C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10178-85 Портландцемент и шлакопортландцемент. Технические условия (С Изменениями N 1, 2)" style="width:25.9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в количестве не более 8% по массе.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этих изделий по согласованию с потребителем должен поставляться цемент одного из следующих типов: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ПЦ 400-Д0-Н, ПЦ 500-Д0-Н - для всех изделий;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ПЦ 500-Д5-Н - для труб, шпал, опор, мостовых конструкций, независимо от вида добавки (для напорных труб должен поставляться цемент I или II группы по эффективности пропаривания согласно приложению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ПЦ 400-Д20-Н, ПЦ 500-Д20-Н - для бетона дорожных и аэродромных покрытий при применении в качестве добавки гранулированного шлака в количестве не более 15%.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Начало схватывания портландцемента для бетона дорожных и аэродромных покрытий должно наступать не ранее 2 ч, портландцемента для труб - не ранее 2 ч 15 мин от начала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затворения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цемента. По согласованию изготовителя с потребителем допускаются иные сроки схватывания.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Удельная поверхность портландцемента с добавкой шлака для бетона дорожных и аэродромных покрытий должна быть не менее 280 м</w:t>
      </w:r>
      <w:r w:rsidR="000F5CD7" w:rsidRPr="000F5C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10178-85 Портландцемент и шлакопортландцемент. Технические условия (С Изменениями N 1, 2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/кг.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1.15. Массовая доля щелочных оксидов 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01930"/>
            <wp:effectExtent l="19050" t="0" r="0" b="0"/>
            <wp:docPr id="9" name="Рисунок 9" descr="ГОСТ 10178-85 Портландцемент и шлакопортландцемент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10178-85 Портландцемент и шлакопортландцемент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F5CD7" w:rsidRPr="000F5C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10178-85 Портландцемент и шлакопортландцемент. Технические условия (С Изменениями N 1, 2)" style="width:25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в пересчете 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01930"/>
            <wp:effectExtent l="19050" t="0" r="0" b="0"/>
            <wp:docPr id="11" name="Рисунок 11" descr="ГОСТ 10178-85 Портландцемент и шлакопортландцемент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0178-85 Портландцемент и шлакопортландцемент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01930"/>
            <wp:effectExtent l="19050" t="0" r="0" b="0"/>
            <wp:docPr id="12" name="Рисунок 12" descr="ГОСТ 10178-85 Портландцемент и шлакопортландцемент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10178-85 Портландцемент и шлакопортландцемент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+0,658</w:t>
      </w:r>
      <w:r w:rsidR="000F5CD7" w:rsidRPr="000F5C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10178-85 Портландцемент и шлакопортландцемент. Технические условия (С Изменениями N 1, 2)" style="width:25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в цементах, предназначенных для изготовления массивных бетонных и железобетонных сооружений с использованием реакционно-способного заполнителя, устанавливается по согласованию с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Массовая доля щелочных оксидов в цементах, изготовляемых с использованием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белитового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(нефелинового) шлама, в пересчете на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03860" cy="201930"/>
            <wp:effectExtent l="19050" t="0" r="0" b="0"/>
            <wp:docPr id="14" name="Рисунок 14" descr="ГОСТ 10178-85 Портландцемент и шлакопортландцемент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10178-85 Портландцемент и шлакопортландцемент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не должна быть более 1,20%.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1.17.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8F464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1.18. Изготовитель должен испытывать цемент на наличие признаков ложного схватывания равномерно по мере отгрузки, но не менее чем 20% отгруженных партий.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ПРАВИЛА ПРИЕМКИ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Приемку цемента производят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30515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8F464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Группы цемента по эффективности пропаривания приведены в приложении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(Введен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8F464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Определение физико-механических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свойств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цементов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производят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310.1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310.4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Химический анализ клинкера и цемента производят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5382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этом массовую долю в клинке* оксида магния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</w:t>
      </w:r>
      <w:r w:rsidR="000F5CD7" w:rsidRPr="000F5CD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5" type="#_x0000_t75" alt="ГОСТ 10178-85 Портландцемент и шлакопортландцемент. Технические условия (С Изменениями N 1, 2)" style="width:25.95pt;height:13.4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) 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устанавливают по данным приемочного контроля производства.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Текст документа соответствует оригиналу.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Вид и количество добавок в цементе определяют по методике головной организации по государственным испытаниям цемента в пробе, отобранной на заводе-изготовителе.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8F464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Наличие признаков ложного схватывания цемента проверяют по методике головной организации по государственным испытаниям.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УПАКОВКА, МАРКИРОВКА, ТРАНСПОРТИРОВАНИЕ И ХРАНЕНИЕ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Упаковку, маркировку, транспортирование и хранение цемента производят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ГОСТ 30515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8F464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ГАРАНТИИ ИЗГОТОВИТЕЛЯ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Изготовитель гарантирует соответствие цемента всем требованиям настоящего стандарта при соблюдении правил его транспортирования и хранения при поставке в таре в течение 45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отгрузки для быстротвердеющих и 60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для остальных цементов, а при поставке навалом - на дату получения цемента потребителем, но не более чем 45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после отгрузки для быстротвердеющих и 60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сут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остальных цементов.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02E23" w:rsidRDefault="00902E23" w:rsidP="00902E23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 xml:space="preserve"> (справочное). Распределение цементов по эффективности пропаривания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(Справочное)</w:t>
      </w:r>
    </w:p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29"/>
        <w:gridCol w:w="1104"/>
        <w:gridCol w:w="1553"/>
        <w:gridCol w:w="1658"/>
        <w:gridCol w:w="1658"/>
        <w:gridCol w:w="1553"/>
      </w:tblGrid>
      <w:tr w:rsidR="00902E23" w:rsidTr="00902E23">
        <w:trPr>
          <w:trHeight w:val="15"/>
        </w:trPr>
        <w:tc>
          <w:tcPr>
            <w:tcW w:w="184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02E23" w:rsidRDefault="00902E23">
            <w:pPr>
              <w:rPr>
                <w:sz w:val="2"/>
                <w:szCs w:val="24"/>
              </w:rPr>
            </w:pPr>
          </w:p>
        </w:tc>
      </w:tr>
      <w:tr w:rsidR="00902E23" w:rsidTr="00902E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Группа по эффективности пропаривания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Тип цемента</w:t>
            </w:r>
          </w:p>
        </w:tc>
        <w:tc>
          <w:tcPr>
            <w:tcW w:w="8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Предел прочности при сжатии после пропаривания, МПа (кгс/</w:t>
            </w:r>
            <w:proofErr w:type="gramStart"/>
            <w:r>
              <w:rPr>
                <w:color w:val="2D2D2D"/>
                <w:sz w:val="23"/>
                <w:szCs w:val="23"/>
              </w:rPr>
              <w:t>см</w:t>
            </w:r>
            <w:proofErr w:type="gramEnd"/>
            <w:r w:rsidR="000F5CD7" w:rsidRPr="000F5CD7">
              <w:rPr>
                <w:color w:val="2D2D2D"/>
                <w:sz w:val="23"/>
                <w:szCs w:val="23"/>
              </w:rPr>
              <w:pict>
                <v:shape id="_x0000_i1036" type="#_x0000_t75" alt="ГОСТ 10178-85 Портландцемент и шлакопортландцемент. Технические условия (С Изменениями N 1, 2)" style="width:9.2pt;height:17.6pt"/>
              </w:pict>
            </w:r>
            <w:r>
              <w:rPr>
                <w:color w:val="2D2D2D"/>
                <w:sz w:val="23"/>
                <w:szCs w:val="23"/>
              </w:rPr>
              <w:t>), для цемента марок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02E23" w:rsidTr="00902E23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550-600</w:t>
            </w:r>
          </w:p>
        </w:tc>
      </w:tr>
      <w:tr w:rsidR="00902E23" w:rsidTr="00902E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23 (230)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27 (270)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32 (320)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38 (380)</w:t>
            </w:r>
          </w:p>
        </w:tc>
      </w:tr>
      <w:tr w:rsidR="00902E23" w:rsidTr="00902E2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21 (210)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25 (250)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30 (300)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02E23" w:rsidTr="00902E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20 до 23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(от 200 до 230)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24 до 27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(от 240 до 270)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28 до 32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(от 280 до 320)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33 до 38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(от 330 до 380)</w:t>
            </w:r>
          </w:p>
        </w:tc>
      </w:tr>
      <w:tr w:rsidR="00902E23" w:rsidTr="00902E2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18 до 21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(от 180 до 210)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22 до 25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(от 220 до 250)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От 26 до 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(от 260 до 300)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02E23" w:rsidTr="00902E23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Менее 20 (200)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Менее 24 (240)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Менее 28 (280)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Менее 33 (330)</w:t>
            </w:r>
          </w:p>
        </w:tc>
      </w:tr>
      <w:tr w:rsidR="00902E23" w:rsidTr="00902E23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ШПЦ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Менее 18 (180)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Менее 22 (220)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Менее 26 (260)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02E23" w:rsidTr="00902E23">
        <w:tc>
          <w:tcPr>
            <w:tcW w:w="114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2E23" w:rsidRDefault="00902E23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Примечание. Для портландцемента и </w:t>
            </w:r>
            <w:proofErr w:type="spellStart"/>
            <w:r>
              <w:rPr>
                <w:color w:val="2D2D2D"/>
                <w:sz w:val="23"/>
                <w:szCs w:val="23"/>
              </w:rPr>
              <w:t>шлакопортландцемента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режим пропаривания принят одинаковым в соответствии с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8F4648">
              <w:rPr>
                <w:sz w:val="23"/>
                <w:szCs w:val="23"/>
              </w:rPr>
              <w:t>ГОСТ 310.4</w:t>
            </w:r>
            <w:r>
              <w:rPr>
                <w:color w:val="2D2D2D"/>
                <w:sz w:val="23"/>
                <w:szCs w:val="23"/>
              </w:rPr>
              <w:t>: общая продолжительность 12-13 ч при температуре 80</w:t>
            </w:r>
            <w:proofErr w:type="gramStart"/>
            <w:r>
              <w:rPr>
                <w:color w:val="2D2D2D"/>
                <w:sz w:val="23"/>
                <w:szCs w:val="23"/>
              </w:rPr>
              <w:t>°С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(в отличие от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proofErr w:type="spellStart"/>
            <w:r w:rsidRPr="008F4648">
              <w:rPr>
                <w:color w:val="2D2D2D"/>
                <w:sz w:val="23"/>
                <w:szCs w:val="23"/>
              </w:rPr>
              <w:t>СНиП</w:t>
            </w:r>
            <w:proofErr w:type="spellEnd"/>
            <w:r w:rsidRPr="008F4648">
              <w:rPr>
                <w:color w:val="2D2D2D"/>
                <w:sz w:val="23"/>
                <w:szCs w:val="23"/>
              </w:rPr>
              <w:t xml:space="preserve"> 82-02</w:t>
            </w:r>
            <w:r>
              <w:rPr>
                <w:color w:val="2D2D2D"/>
                <w:sz w:val="23"/>
                <w:szCs w:val="23"/>
              </w:rPr>
              <w:t xml:space="preserve">, где для </w:t>
            </w:r>
            <w:proofErr w:type="spellStart"/>
            <w:r>
              <w:rPr>
                <w:color w:val="2D2D2D"/>
                <w:sz w:val="23"/>
                <w:szCs w:val="23"/>
              </w:rPr>
              <w:t>шлакопортландцемента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принят режим пропаривания общей продолжительностью 16-18 ч при температуре 90-95°С).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902E23" w:rsidRDefault="00902E23" w:rsidP="00902E23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8F464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8F464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8F4648">
        <w:rPr>
          <w:rFonts w:ascii="Arial" w:hAnsi="Arial" w:cs="Arial"/>
          <w:spacing w:val="2"/>
          <w:sz w:val="23"/>
          <w:szCs w:val="23"/>
        </w:rPr>
        <w:t>Поправка.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ИУС N 6-2001).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902E23" w:rsidRPr="00902E23" w:rsidRDefault="00902E23" w:rsidP="00902E23"/>
    <w:sectPr w:rsidR="00902E23" w:rsidRPr="00902E23" w:rsidSect="004732B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D3" w:rsidRDefault="007909D3" w:rsidP="00AB0D55">
      <w:pPr>
        <w:spacing w:after="0" w:line="240" w:lineRule="auto"/>
      </w:pPr>
      <w:r>
        <w:separator/>
      </w:r>
    </w:p>
  </w:endnote>
  <w:endnote w:type="continuationSeparator" w:id="0">
    <w:p w:rsidR="007909D3" w:rsidRDefault="007909D3" w:rsidP="00AB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D55" w:rsidRDefault="00AB0D55" w:rsidP="00AB0D55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B0D55" w:rsidRDefault="00AB0D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D3" w:rsidRDefault="007909D3" w:rsidP="00AB0D55">
      <w:pPr>
        <w:spacing w:after="0" w:line="240" w:lineRule="auto"/>
      </w:pPr>
      <w:r>
        <w:separator/>
      </w:r>
    </w:p>
  </w:footnote>
  <w:footnote w:type="continuationSeparator" w:id="0">
    <w:p w:rsidR="007909D3" w:rsidRDefault="007909D3" w:rsidP="00AB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B95"/>
    <w:multiLevelType w:val="multilevel"/>
    <w:tmpl w:val="A9B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190D79"/>
    <w:multiLevelType w:val="multilevel"/>
    <w:tmpl w:val="053E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F42E1"/>
    <w:multiLevelType w:val="multilevel"/>
    <w:tmpl w:val="02363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E1AC2"/>
    <w:multiLevelType w:val="hybridMultilevel"/>
    <w:tmpl w:val="4FC4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82B2A"/>
    <w:multiLevelType w:val="multilevel"/>
    <w:tmpl w:val="5F94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7CE"/>
    <w:rsid w:val="000F5CD7"/>
    <w:rsid w:val="001E4020"/>
    <w:rsid w:val="004732B4"/>
    <w:rsid w:val="007909D3"/>
    <w:rsid w:val="008F4648"/>
    <w:rsid w:val="00902E23"/>
    <w:rsid w:val="00A817CE"/>
    <w:rsid w:val="00AB0D55"/>
    <w:rsid w:val="00B1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B4"/>
  </w:style>
  <w:style w:type="paragraph" w:styleId="1">
    <w:name w:val="heading 1"/>
    <w:basedOn w:val="a"/>
    <w:next w:val="a"/>
    <w:link w:val="10"/>
    <w:uiPriority w:val="9"/>
    <w:qFormat/>
    <w:rsid w:val="00902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17CE"/>
  </w:style>
  <w:style w:type="character" w:styleId="a3">
    <w:name w:val="Hyperlink"/>
    <w:basedOn w:val="a0"/>
    <w:uiPriority w:val="99"/>
    <w:semiHidden/>
    <w:unhideWhenUsed/>
    <w:rsid w:val="00A817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817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8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817CE"/>
    <w:rPr>
      <w:b/>
      <w:bCs/>
    </w:rPr>
  </w:style>
  <w:style w:type="paragraph" w:styleId="a6">
    <w:name w:val="No Spacing"/>
    <w:uiPriority w:val="1"/>
    <w:qFormat/>
    <w:rsid w:val="00902E2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2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0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0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02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2E2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B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0D55"/>
  </w:style>
  <w:style w:type="paragraph" w:styleId="ab">
    <w:name w:val="footer"/>
    <w:basedOn w:val="a"/>
    <w:link w:val="ac"/>
    <w:uiPriority w:val="99"/>
    <w:semiHidden/>
    <w:unhideWhenUsed/>
    <w:rsid w:val="00AB0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0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4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41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2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618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2017-04-28T06:41:00Z</dcterms:created>
  <dcterms:modified xsi:type="dcterms:W3CDTF">2017-08-15T12:31:00Z</dcterms:modified>
</cp:coreProperties>
</file>