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6" w:rsidRDefault="000A54B6" w:rsidP="000A54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10296-79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 (с Изменениями N 1, 2)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10296-79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Ж14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A54B6" w:rsidRDefault="000A54B6" w:rsidP="000A54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ИЗОЛ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Isol-hydroinsulating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material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ОКП 57 7461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1980-01-01</w:t>
      </w:r>
    </w:p>
    <w:p w:rsidR="000A54B6" w:rsidRDefault="000A54B6" w:rsidP="000A54B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ИНФОРМАЦИОННЫЕ ДАННЫЕ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промышленности строительных материалов СССР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Госстроя СССР от 29.12.78 N 271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Изменение N 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ГОСТ 10296-79 принято Межгосударственной научно-технической комиссией по стандартизации, техническому нормированию и сертификации в строительстве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принятие изменения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3"/>
        <w:gridCol w:w="6152"/>
      </w:tblGrid>
      <w:tr w:rsidR="000A54B6" w:rsidTr="000A54B6">
        <w:trPr>
          <w:trHeight w:val="15"/>
        </w:trPr>
        <w:tc>
          <w:tcPr>
            <w:tcW w:w="3326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</w:tr>
      <w:tr w:rsidR="000A54B6" w:rsidTr="000A54B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0A54B6" w:rsidTr="000A54B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градостроительства Республики Армения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архитектуры и строительства Республики Беларусь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Кыргызская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Государственная инспекция по архитектуре и строительству при Правительстве </w:t>
            </w:r>
            <w:proofErr w:type="spellStart"/>
            <w:r>
              <w:rPr>
                <w:color w:val="2D2D2D"/>
                <w:sz w:val="21"/>
                <w:szCs w:val="21"/>
              </w:rPr>
              <w:t>Кыргызской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развития территорий, строительства и коммунального хозяйства Республики Молдова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России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Комитет по делам архитектуры и строительства Республики Таджикистан</w:t>
            </w:r>
          </w:p>
        </w:tc>
      </w:tr>
      <w:tr w:rsidR="000A54B6" w:rsidTr="000A54B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Государственный Комитет Республики Узбекистан по архитектуре и строительству</w:t>
            </w:r>
          </w:p>
        </w:tc>
      </w:tr>
    </w:tbl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 ВЗАМЕН ГОСТ 10296-71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ИЗДАНИЕ (июль 2001 г.) с Изменениями N 1,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утвержденными в декабре 1989 г., августе 2000 г. (ИУС 4-90, 1-2001).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1а. ОБЛАСТЬ ПРИМЕНЕНИЯ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изол-безосновный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рулонный гидроизоляционный материал, получаемый из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резинобитумного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вяжущего с технологическими добавками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предназначенный для гидроизоляции строительных конструкций, мостов и тоннелей, а также для защиты наружной поверхности стальных труб тепловых сетей при температуре до 140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1б. НОРМАТИВНЫЕ ССЫЛКИ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настоящем стандарте использованы ссылки на следующие нормативные и технические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12.3.009-76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2678-94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Материалы рулонные кровельные и гидроизоляционные.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2770-74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Масло каменноугольное для пропитки древесины.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9548-74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Битумы нефтяные кровельные.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12085-88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Мел природный обогащенный.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12871-93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Асбест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хризотиловый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16337-77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Полиэтилен высокого давления.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16338-85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Полиэтилен низкого давления.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17498-72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Мел. Виды, марки и основные технические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19433-88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21235-75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Тальк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талькомагнезит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молотые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B90688">
        <w:rPr>
          <w:rFonts w:ascii="Arial" w:hAnsi="Arial" w:cs="Arial"/>
          <w:spacing w:val="2"/>
          <w:sz w:val="21"/>
          <w:szCs w:val="21"/>
        </w:rPr>
        <w:t>ГОСТ 22245-90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Битумы нефтяные дорожные вязкие.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30244-94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Материалы строительные. Методы испытаний на горючесть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30402-96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Материалы строительные. Метод испытания на воспламеняемость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90688">
        <w:rPr>
          <w:rFonts w:ascii="Arial" w:hAnsi="Arial" w:cs="Arial"/>
          <w:spacing w:val="2"/>
          <w:sz w:val="21"/>
          <w:szCs w:val="21"/>
        </w:rPr>
        <w:t>ГОСТ 30547-97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Материалы рулонные кровельные и гидроизоляционные.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ОСТ 1430-77 Смола инден-кумароновая.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ТУ 38.108035-87* Резина дробленая марок РД, РДС и РДЕ.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Документ является авторской разработкой.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ссылке</w:t>
      </w:r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Разд.1б.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1. РАЗМЕРЫ И МАРКИ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выпускают в рулонах шириной полотна 800, 1000 и 1100 мм, толщиной - 2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Допускаемые отклонения от размеров полотна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 должны превышать: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359"/>
        <w:gridCol w:w="1478"/>
        <w:gridCol w:w="739"/>
        <w:gridCol w:w="480"/>
      </w:tblGrid>
      <w:tr w:rsidR="000A54B6" w:rsidTr="000A54B6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</w:tr>
      <w:tr w:rsidR="000A54B6" w:rsidTr="000A54B6">
        <w:trPr>
          <w:gridAfter w:val="1"/>
          <w:wAfter w:w="480" w:type="dxa"/>
        </w:trPr>
        <w:tc>
          <w:tcPr>
            <w:tcW w:w="739" w:type="dxa"/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 ширине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±10,0 мм</w:t>
            </w:r>
          </w:p>
        </w:tc>
        <w:tc>
          <w:tcPr>
            <w:tcW w:w="739" w:type="dxa"/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</w:tr>
      <w:tr w:rsidR="000A54B6" w:rsidTr="000A54B6">
        <w:tc>
          <w:tcPr>
            <w:tcW w:w="739" w:type="dxa"/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 толщине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±0,2 мм</w:t>
            </w:r>
          </w:p>
        </w:tc>
        <w:tc>
          <w:tcPr>
            <w:tcW w:w="739" w:type="dxa"/>
            <w:gridSpan w:val="2"/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</w:tr>
    </w:tbl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 согласованию с потребителем допускается выпуск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другой ширины.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1.2. В зависимости от физико-механических показателей и наличия полимерной добавки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подразделяют на две марки, указанные в табл.1.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6"/>
        <w:gridCol w:w="2972"/>
        <w:gridCol w:w="2422"/>
        <w:gridCol w:w="2625"/>
      </w:tblGrid>
      <w:tr w:rsidR="000A54B6" w:rsidTr="000A54B6">
        <w:trPr>
          <w:trHeight w:val="15"/>
        </w:trPr>
        <w:tc>
          <w:tcPr>
            <w:tcW w:w="1478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</w:tr>
      <w:tr w:rsidR="000A54B6" w:rsidTr="000A54B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Марки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Общая площадь рулона,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 w:rsidR="00FA6E2B" w:rsidRPr="00FA6E2B"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296-79 Изол. Технические условия (с Изменениями N 1, 2)" style="width:8.35pt;height:17.6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Справочная масса* рулона, </w:t>
            </w:r>
            <w:proofErr w:type="gramStart"/>
            <w:r>
              <w:rPr>
                <w:color w:val="2D2D2D"/>
                <w:sz w:val="21"/>
                <w:szCs w:val="21"/>
              </w:rPr>
              <w:t>кг</w:t>
            </w:r>
            <w:proofErr w:type="gramEnd"/>
          </w:p>
        </w:tc>
      </w:tr>
      <w:tr w:rsidR="000A54B6" w:rsidTr="000A54B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И-БД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Изол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без полимерных добавок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10±0,5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0A54B6" w:rsidTr="000A54B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15±0,5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0A54B6" w:rsidTr="000A54B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И-ПД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Изол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 полимерными добавками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10±0,5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0A54B6" w:rsidTr="000A54B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15±0,5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</w:tbl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Отклонения от справочной массы рулона не являются браковочным признаком.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Условное обозначение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технической документации и при заказе должно состоять из слова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", обозначений марки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марки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И-БД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И-БД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ГОСТ 10296-79.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ТЕХНИЧЕСКИЕ ТРЕБОВАНИЯ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Требования к сырью и материалам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30547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Для изготовления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рекомендуется сырье и материалы, приведенные в приложении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2.3. Физико-механические показатели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9"/>
        <w:gridCol w:w="1818"/>
        <w:gridCol w:w="1818"/>
      </w:tblGrid>
      <w:tr w:rsidR="000A54B6" w:rsidTr="000A54B6">
        <w:trPr>
          <w:trHeight w:val="15"/>
        </w:trPr>
        <w:tc>
          <w:tcPr>
            <w:tcW w:w="6653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</w:tr>
      <w:tr w:rsidR="000A54B6" w:rsidTr="000A54B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Норма для </w:t>
            </w:r>
            <w:proofErr w:type="spellStart"/>
            <w:r>
              <w:rPr>
                <w:color w:val="2D2D2D"/>
                <w:sz w:val="21"/>
                <w:szCs w:val="21"/>
              </w:rPr>
              <w:t>изола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марок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0A54B6" w:rsidTr="000A54B6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И-БД</w:t>
            </w:r>
            <w:proofErr w:type="gram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И-ПД</w:t>
            </w:r>
          </w:p>
        </w:tc>
      </w:tr>
      <w:tr w:rsidR="000A54B6" w:rsidTr="000A54B6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Условная прочность, МПа (кгс/</w:t>
            </w:r>
            <w:proofErr w:type="gramStart"/>
            <w:r>
              <w:rPr>
                <w:color w:val="2D2D2D"/>
                <w:sz w:val="21"/>
                <w:szCs w:val="21"/>
              </w:rPr>
              <w:t>см</w:t>
            </w:r>
            <w:proofErr w:type="gramEnd"/>
            <w:r w:rsidR="00FA6E2B" w:rsidRPr="00FA6E2B">
              <w:rPr>
                <w:color w:val="2D2D2D"/>
                <w:sz w:val="21"/>
                <w:szCs w:val="21"/>
              </w:rPr>
              <w:pict>
                <v:shape id="_x0000_i1026" type="#_x0000_t75" alt="ГОСТ 10296-79 Изол. Технические условия (с Изменениями N 1, 2)" style="width:8.35pt;height:17.6pt"/>
              </w:pict>
            </w:r>
            <w:r>
              <w:rPr>
                <w:color w:val="2D2D2D"/>
                <w:sz w:val="21"/>
                <w:szCs w:val="21"/>
              </w:rPr>
              <w:t>), не менее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0,45(4,6)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0,60(6,1)</w:t>
            </w:r>
          </w:p>
        </w:tc>
      </w:tr>
      <w:tr w:rsidR="000A54B6" w:rsidTr="000A54B6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Относительное удлинение, %, не менее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0A54B6" w:rsidTr="000A54B6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Относительное остаточное удлинение, %,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0A54B6" w:rsidTr="000A54B6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Водопоглощение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 течение 24 ч, % по массе,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</w:tbl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2.4.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быть гибким. При испытании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брусах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условиях, приведенных в табл.3, на поверхности образца не должно быть трещин.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9"/>
        <w:gridCol w:w="3863"/>
        <w:gridCol w:w="3853"/>
      </w:tblGrid>
      <w:tr w:rsidR="000A54B6" w:rsidTr="000A54B6">
        <w:trPr>
          <w:trHeight w:val="15"/>
        </w:trPr>
        <w:tc>
          <w:tcPr>
            <w:tcW w:w="1848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0A54B6" w:rsidRDefault="000A54B6">
            <w:pPr>
              <w:rPr>
                <w:sz w:val="2"/>
                <w:szCs w:val="24"/>
              </w:rPr>
            </w:pPr>
          </w:p>
        </w:tc>
      </w:tr>
      <w:tr w:rsidR="000A54B6" w:rsidTr="000A54B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Марка </w:t>
            </w:r>
            <w:proofErr w:type="spellStart"/>
            <w:r>
              <w:rPr>
                <w:color w:val="2D2D2D"/>
                <w:sz w:val="21"/>
                <w:szCs w:val="21"/>
              </w:rPr>
              <w:t>изола</w:t>
            </w:r>
            <w:proofErr w:type="spellEnd"/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Условия испытания </w:t>
            </w:r>
            <w:proofErr w:type="spellStart"/>
            <w:r>
              <w:rPr>
                <w:color w:val="2D2D2D"/>
                <w:sz w:val="21"/>
                <w:szCs w:val="21"/>
              </w:rPr>
              <w:t>изола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на гибкость</w:t>
            </w:r>
          </w:p>
        </w:tc>
      </w:tr>
      <w:tr w:rsidR="000A54B6" w:rsidTr="000A54B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 брусе с закруглением радиусом,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температуре, К (°С), не выше</w:t>
            </w:r>
          </w:p>
        </w:tc>
      </w:tr>
      <w:tr w:rsidR="000A54B6" w:rsidTr="000A54B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И-БД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25,0±0,2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253 (минус 20)</w:t>
            </w:r>
          </w:p>
        </w:tc>
      </w:tr>
      <w:tr w:rsidR="000A54B6" w:rsidTr="000A54B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5,0±0,2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 (минус 15)</w:t>
            </w:r>
          </w:p>
        </w:tc>
      </w:tr>
      <w:tr w:rsidR="000A54B6" w:rsidTr="000A54B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И-ПД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25,0±0,2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248 (минус 25)</w:t>
            </w:r>
          </w:p>
        </w:tc>
      </w:tr>
      <w:tr w:rsidR="000A54B6" w:rsidTr="000A54B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5,0±0,2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4B6" w:rsidRDefault="000A54B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253 (минус 20)</w:t>
            </w:r>
          </w:p>
        </w:tc>
      </w:tr>
    </w:tbl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2.5.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быть теплостойким. При испытании образца материала при температуре (423±1) К [(150±1)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]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течение не менее 2 ч не должно быть увеличения длины и появления вздутий.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2.6. Полотно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должно быть намотано на жесткий сердечник диаметром не менее 60 мм, изготовленный из материала, обеспечивающего сохранность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 его транспортировании и хранении.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 согласованию с потребителем разрешается намотка полотна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сердечники диаметром не менее 40 мм. В этом случае сердечник должен быть изготовлен из древесины.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Длина сердечника должна быть равна ширине полотна либо больше или меньше ее не более чем на 10 мм.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2.7. Рулоны должны иметь ровные торцы. Допустимая высота выступов не должна превышать 20 мм. Края полотен в стыке рулона должны быть ровно обрезаны.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2.5-2.7.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2.8. Полотно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 должно иметь дыр, разрывов, складок, надрывов кромок, а также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непереработанных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частиц резины и посторонних включений.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2.9. Нижняя поверхность полотна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(внутренняя в рулоне) должна быть покрыта сплошным слоем пылевидной посыпки. Полотно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 должно быть слипшимся.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2.10. Требования к числу составных рулонов и полотен в рулоне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30547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2.11.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быть водонепроницаемым. При испытании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 давлении не менее 0,08 МПа (0,8 кгс/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см</w:t>
      </w:r>
      <w:proofErr w:type="gramEnd"/>
      <w:r w:rsidR="00FA6E2B" w:rsidRPr="00FA6E2B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10296-79 Изол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в течение не менее 10 мин на поверхности образца не должно появляться признаков проникания воды.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2.12. Упаковка и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2.12.1. Упаковку рулонов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применение других упаковочных материалов, обеспечивающих сохранность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 транспортировании и хранении.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2.12.2. Маркировка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30547</w:t>
      </w:r>
      <w:r>
        <w:rPr>
          <w:rFonts w:ascii="Arial" w:hAnsi="Arial" w:cs="Arial"/>
          <w:color w:val="2D2D2D"/>
          <w:spacing w:val="2"/>
          <w:sz w:val="21"/>
          <w:szCs w:val="21"/>
        </w:rPr>
        <w:t>. На этикетке (штампе) должны быть указаны: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наименование материала и его марка;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партии (или другое обозначение партии, принятое на заводе-изготовителе) и дата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краткая инструкция по применению.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нижней части этикетки должно быть приведено следующее указание: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"Рулоны хранить и перевозить только в горизонтальном положении".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данных на этикетке (штампе) может быть дополнен или изменен по согласованию с потребителем.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нанесением основных, дополнительных и информационных надписей.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2.11-2.12.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(Введены дополнительно.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ПРАВИЛА ПРИЕМКИ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30547</w:t>
      </w:r>
      <w:r>
        <w:rPr>
          <w:rFonts w:ascii="Arial" w:hAnsi="Arial" w:cs="Arial"/>
          <w:color w:val="2D2D2D"/>
          <w:spacing w:val="2"/>
          <w:sz w:val="21"/>
          <w:szCs w:val="21"/>
        </w:rPr>
        <w:t>. Размер партии устанавливают в количестве не более 1400 рулонов.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Водонепроницаемость и гибкость на брусе радиусом (25,0±0,2) мм следует определять не реже одного раза в квартал и при изменении сырьевых компонентов; до 01.01.2002 определения являются факультативными.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3.2-3.5.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МЕТОДЫ ИСПЫТАНИЙ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2678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 следующим дополнением: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условную прочность, относительное удлинение и относительное остаточное удлинение определяют на образцах-лопатках типа 1 при постоянной скорости перемещения подвижного захвата (50±5) мм/мин.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5. ТРАНСПОРТИРОВАНИЕ И ХРАНЕНИЕ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5.1. Транспортирование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следует производить в крытых транспортных средствах в горизонтальном положении не более пяти рулонов по высоте, при этом должна быть обеспечена особая сохранность нижнего ряда рулонов от повреждений.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температуре минус 15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ниже в процессе погрузки и разгрузки рулоны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 должны подвергаться ударам.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транспортирование рулонов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контейнерах и на поддонах. По согласованию с потребителем допускаются другие способы транспортирования, обеспечивающие сохранность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 Погрузку в транспортные средства и перевозку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производят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5.3. Рулоны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должны храниться рассортированными по маркам в сухом закрытом помещении в горизонтальном положении не более пяти рулонов по высоте, при этом должна быть обеспечена особая сохранность нижнего ряда рулонов от повреждений.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Рулоны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могут храниться в контейнерах и на поддонах.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Срок хранения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 истечении срока хранения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быть проверен на соответствие требованиям настоящего стандарта. В случае соответствия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может быть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использован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назначению.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Разд.4, 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Разд.6 (Исключен,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7. ТРЕБОВАНИЯ БЕЗОПАСНОСТИ И ОХРАНЫ ОКРУЖАЮЩЕЙ СРЕДЫ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7.1.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имеет следующие показатели пожарной опасности: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группа горючести - Г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30244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группа воспламеняемости - В3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30402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 По классификации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 относится к опасным грузам.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территории предприятия или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а также свалка его в не предназначенных для этого местах.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7.4. Отходы, образующиеся при изготовлении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цели, местах.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7.5. В случае загорания битума или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7.6. При погрузочно-разгрузочных работах должны соблюдаться требования безопасности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12.3.009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8. УКАЗАНИЯ ПО ПРИМЕНЕНИЮ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применяться в соответствии с действующими строительными нормами.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Разд.7, 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B90688"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B90688">
        <w:rPr>
          <w:rFonts w:ascii="Arial" w:hAnsi="Arial" w:cs="Arial"/>
          <w:color w:val="2D2D2D"/>
          <w:spacing w:val="2"/>
          <w:sz w:val="21"/>
          <w:szCs w:val="21"/>
        </w:rPr>
        <w:t xml:space="preserve"> N 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A54B6" w:rsidRDefault="000A54B6" w:rsidP="000A54B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ПРИЛОЖЕНИЕ А (справочное). Сырье и материалы, применяемые для изготовления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изола</w:t>
      </w:r>
      <w:proofErr w:type="spellEnd"/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Справочное</w:t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Битумы нефтяные кровельные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9548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Мел природный обогащенный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12085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Асбест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хризотиловый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7-го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12871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Полиэтилен высокого давления (низкой плотности)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16337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Полиэтилен низкого давления (высокой плотности)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16338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Мел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17498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Тальк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21235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Битумы нефтяные дорожные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22245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Смола инден-кумароновая по ОСТ 1430.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Резиновая крошка по ТУ 38.108035.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A54B6" w:rsidRDefault="000A54B6" w:rsidP="000A54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Масло каменноугольное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ГОСТ 2770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или другое сырье и материалы по НТД, утвержденным в установленном порядке, в соответствии с технологическим регламентом на производство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B90688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AB34AC" w:rsidRPr="000A54B6" w:rsidRDefault="00AB34AC" w:rsidP="000A54B6"/>
    <w:sectPr w:rsidR="00AB34AC" w:rsidRPr="000A54B6" w:rsidSect="00AB34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66" w:rsidRDefault="006A3E66" w:rsidP="008A0037">
      <w:pPr>
        <w:spacing w:after="0" w:line="240" w:lineRule="auto"/>
      </w:pPr>
      <w:r>
        <w:separator/>
      </w:r>
    </w:p>
  </w:endnote>
  <w:endnote w:type="continuationSeparator" w:id="0">
    <w:p w:rsidR="006A3E66" w:rsidRDefault="006A3E66" w:rsidP="008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7" w:rsidRDefault="008A0037" w:rsidP="008A0037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A0037" w:rsidRDefault="008A00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66" w:rsidRDefault="006A3E66" w:rsidP="008A0037">
      <w:pPr>
        <w:spacing w:after="0" w:line="240" w:lineRule="auto"/>
      </w:pPr>
      <w:r>
        <w:separator/>
      </w:r>
    </w:p>
  </w:footnote>
  <w:footnote w:type="continuationSeparator" w:id="0">
    <w:p w:rsidR="006A3E66" w:rsidRDefault="006A3E66" w:rsidP="008A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1D"/>
    <w:multiLevelType w:val="multilevel"/>
    <w:tmpl w:val="9C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611"/>
    <w:multiLevelType w:val="multilevel"/>
    <w:tmpl w:val="E3908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74612"/>
    <w:multiLevelType w:val="multilevel"/>
    <w:tmpl w:val="CE2E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0A54B6"/>
    <w:rsid w:val="00194EE9"/>
    <w:rsid w:val="004A2147"/>
    <w:rsid w:val="005165EA"/>
    <w:rsid w:val="006A3E66"/>
    <w:rsid w:val="008A0037"/>
    <w:rsid w:val="008F3813"/>
    <w:rsid w:val="00915893"/>
    <w:rsid w:val="00A0249C"/>
    <w:rsid w:val="00AB34AC"/>
    <w:rsid w:val="00B859F8"/>
    <w:rsid w:val="00B90688"/>
    <w:rsid w:val="00C34B8E"/>
    <w:rsid w:val="00E42291"/>
    <w:rsid w:val="00E923C8"/>
    <w:rsid w:val="00FA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94EE9"/>
    <w:rPr>
      <w:color w:val="800080"/>
      <w:u w:val="single"/>
    </w:rPr>
  </w:style>
  <w:style w:type="paragraph" w:customStyle="1" w:styleId="topleveltext">
    <w:name w:val="topleveltext"/>
    <w:basedOn w:val="a"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0037"/>
  </w:style>
  <w:style w:type="paragraph" w:styleId="ab">
    <w:name w:val="footer"/>
    <w:basedOn w:val="a"/>
    <w:link w:val="ac"/>
    <w:uiPriority w:val="99"/>
    <w:semiHidden/>
    <w:unhideWhenUsed/>
    <w:rsid w:val="008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251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3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2017-04-29T09:21:00Z</dcterms:created>
  <dcterms:modified xsi:type="dcterms:W3CDTF">2017-08-15T12:28:00Z</dcterms:modified>
</cp:coreProperties>
</file>