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0E" w:rsidRDefault="000D1B0E" w:rsidP="000D1B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19917-93 Мебель для сидения и лежания. Общие технические условия (с Изменениями N 1, 2, 3)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19917-93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К25</w:t>
      </w:r>
    </w:p>
    <w:p w:rsidR="000D1B0E" w:rsidRDefault="000D1B0E" w:rsidP="000D1B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1B0E" w:rsidRDefault="000D1B0E" w:rsidP="000D1B0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МЕБЕЛЬ ДЛЯ СИДЕНИЯ И ЛЕЖАНИЯ</w:t>
      </w:r>
    </w:p>
    <w:p w:rsidR="000D1B0E" w:rsidRPr="000D1B0E" w:rsidRDefault="000D1B0E" w:rsidP="000D1B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4F577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4F577B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0D1B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0D1B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0D1B0E" w:rsidRPr="000D1B0E" w:rsidRDefault="000D1B0E" w:rsidP="000D1B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0D1B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0D1B0E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gramStart"/>
      <w:r w:rsidRPr="000D1B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Furniture for seating and lying.</w:t>
      </w:r>
      <w:proofErr w:type="gramEnd"/>
      <w:r w:rsidRPr="000D1B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</w:t>
      </w:r>
    </w:p>
    <w:p w:rsidR="000D1B0E" w:rsidRP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D1B0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0D1B0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56 0000</w:t>
      </w:r>
    </w:p>
    <w:p w:rsidR="000D1B0E" w:rsidRP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0D1B0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0D1B0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1995-01-01</w:t>
      </w:r>
      <w:r w:rsidRPr="000D1B0E">
        <w:rPr>
          <w:rStyle w:val="apple-converted-space"/>
          <w:rFonts w:ascii="Arial" w:hAnsi="Arial" w:cs="Arial"/>
          <w:color w:val="2D2D2D"/>
          <w:spacing w:val="2"/>
          <w:sz w:val="18"/>
          <w:szCs w:val="18"/>
          <w:lang w:val="en-US"/>
        </w:rPr>
        <w:t> </w:t>
      </w:r>
    </w:p>
    <w:p w:rsidR="000D1B0E" w:rsidRDefault="000D1B0E" w:rsidP="000D1B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3"/>
        <w:gridCol w:w="5174"/>
      </w:tblGrid>
      <w:tr w:rsidR="000D1B0E" w:rsidTr="000D1B0E">
        <w:trPr>
          <w:trHeight w:val="15"/>
        </w:trPr>
        <w:tc>
          <w:tcPr>
            <w:tcW w:w="5174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0D1B0E" w:rsidTr="000D1B0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Киргизстандарт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Молдовастандарт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Таджикгосстандарт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Узгосстандарт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30725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принято Межгосударственным Советом по стандартизации, метрологии и сертификации (протокол N 14 от 12.11.98)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Зарегистрировано Техническим секретарем МГС N 3117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изменения проголосовали: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3"/>
        <w:gridCol w:w="5174"/>
      </w:tblGrid>
      <w:tr w:rsidR="000D1B0E" w:rsidTr="000D1B0E">
        <w:trPr>
          <w:trHeight w:val="15"/>
        </w:trPr>
        <w:tc>
          <w:tcPr>
            <w:tcW w:w="5174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0D1B0E" w:rsidTr="000D1B0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Киргизстандарт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Молдовастандарт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Таджикгосстандарт</w:t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Узгосстандарт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2 июня 1994 г. N 160 межгосударственный стандарт ГОСТ 19917-93 введен в действие непосредственно в качестве государственного стандарта Российской Федерации с 1 января 1995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19917-85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ПЕРЕИЗДАНИЕ (май 1999 г.)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Изменением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принятым в феврале 1999 г. (ИУС 5-99)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принятое Межгосударственным Советом по стандартизации, метрологии и сертификации (протокол N 31 от 08.06.2007). Государство-разработчик Россия. Приказом Федерального агентства по техническому регулированию и метрологии от 29.08.2007 N 216-ст введено в действие на территории РФ с 01.07.2008 с правом досрочного применения;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Изменение N 3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принятое Межгосударственным Советом по стандартизации, метрологии и сертификации (протокол N 38 от 25.11.2010). Государство-разработчик Россия.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230725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09.02.2011 N 7-ст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введено в действие на территории РФ с 01.11.2011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N 2, 3 внесены изготовителем базы данных по тексту ИУС N 11, 2007 год, ИУС N 4, 2011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5, 2013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  <w:proofErr w:type="gramEnd"/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21"/>
        <w:gridCol w:w="4326"/>
      </w:tblGrid>
      <w:tr w:rsidR="000D1B0E" w:rsidTr="000D1B0E">
        <w:trPr>
          <w:trHeight w:val="15"/>
        </w:trPr>
        <w:tc>
          <w:tcPr>
            <w:tcW w:w="646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D1B0E" w:rsidTr="000D1B0E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2140-81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3916.1-96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3916.2-96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4598-86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lastRenderedPageBreak/>
              <w:t>ГОСТ 5244-79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5679-91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2.2.6.2, 2.3.3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6449.1-82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6449.2-82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6449.3-82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6449.4-82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6449.5-82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7701-93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10632-89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11039-84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12029-93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13025.1-85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13025.2-85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14314-94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16371-93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2.2.1, 2.2.8, 2.2.15, 2.4.1, 2.5.1, 3.2, Разд.5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16504-81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17340-87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17524.2-93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1.1, 2.2.15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19120-93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2.2.15, 4.7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19178-73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19194-73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19301.2-94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1.1, 2.4.1.2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19301.3-94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19918.3-79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20400-80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2.2.1, 2.2.5.1, приложение 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21640-91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23381-89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26682-85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26800.2-86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26800.3-86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28777-90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2.2.15, 4.10, 4.11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 xml:space="preserve">ГОСТ 30210-94/ГОСТ </w:t>
            </w:r>
            <w:proofErr w:type="gramStart"/>
            <w:r w:rsidRPr="00230725">
              <w:rPr>
                <w:sz w:val="18"/>
                <w:szCs w:val="18"/>
              </w:rPr>
              <w:t>Р</w:t>
            </w:r>
            <w:proofErr w:type="gramEnd"/>
            <w:r w:rsidRPr="00230725">
              <w:rPr>
                <w:sz w:val="18"/>
                <w:szCs w:val="18"/>
              </w:rPr>
              <w:t xml:space="preserve"> 50053-92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 xml:space="preserve">ГОСТ 30211-94/ ГОСТ </w:t>
            </w:r>
            <w:proofErr w:type="gramStart"/>
            <w:r w:rsidRPr="00230725">
              <w:rPr>
                <w:sz w:val="18"/>
                <w:szCs w:val="18"/>
              </w:rPr>
              <w:t>Р</w:t>
            </w:r>
            <w:proofErr w:type="gramEnd"/>
            <w:r w:rsidRPr="00230725">
              <w:rPr>
                <w:sz w:val="18"/>
                <w:szCs w:val="18"/>
              </w:rPr>
              <w:t xml:space="preserve"> 50051-92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мебель для сидения и лежания бытовую и для общественных помещений, выпускаемую предприятиями (организациями) любых форм собственности, а также индивидуальными изготовителями.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Виды мебели приведены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Требования, обеспечивающие безопасность при эксплуатации мебели, изложены в п.п.2.2.5.3, 2.2.15, 2.2.17, 2.2.18, 2.2.19.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Размеры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 Функциональные размеры изделий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13025.1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13025.2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19301.2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19301.3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17524.2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19178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26682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26800.2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26800.3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 Функциональные размеры изделий, не установленные соответствующими стандартами, должны быть указаны в технической документации на эти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Технические требования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 Мебель для сидения и лежания должна соответствовать требованиям настоящего стандарта и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2.2.1 Влажность деталей из древесины и древесных материалов, прочность клеевого соединения на неравномерный отрыв, нормы пороков древесины для поверхностей, облицованных шпоном, требования к поверхностям в части дефектов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20400</w:t>
      </w:r>
      <w:r>
        <w:rPr>
          <w:rFonts w:ascii="Arial" w:hAnsi="Arial" w:cs="Arial"/>
          <w:color w:val="2D2D2D"/>
          <w:spacing w:val="2"/>
          <w:sz w:val="18"/>
          <w:szCs w:val="18"/>
        </w:rPr>
        <w:t>, деталям мебели, изготовленным из фанеры и не подлежащим последующему облицовыванию или подлежащим обивке, к облицовочным материалам, покрытиям, шероховатости, покоробленности деталей и методы контроля по этим показателям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16371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 Нормы ограничения пороков древесины на поверхностях деталей мебели из массивной древесины приведены в приложении 2 (таблица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Виды поверхностей изделий мебели приведены в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лицевых поверхностях изделия допускаются здоровые сросшиеся сучки, если это не снижает прочности изделия и предусмотрено технической документацией на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лицевых поверхностях изделия мебели может быть одновременно не более трех видов нормируемых пороков, кроме неучитываемых и допускаемых без ограничения, указанных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шиповых соединениях и деталях сечением менее 20х30 мм, несущих силовые нагрузки, не допускаются пороки древесины, перечисленные в приложении 2, кроме пороков по пп.3а (в пределах установленной нормы), 3а, 4 и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2.2.2.4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екомендуется, чтобы размеры червоточин, кармашков и пробок для их заделки в деталях из массивной древесины не превышали 1/3 ширины или толщины детали. Ребровые сучки допускаются только сросшиеся в размере 1/5 ширины или толщины детали, но не более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2.2.2.5 Сучки размером более 15 мм на деталях, предназначенных под облицовывание или непрозрачную отделку, должны быть заделаны вставками или пробками, кроме здоровых сросшихся сучков на деталях, предназначенных под непрозрачную отделку.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2.2.2.6 Вставки и пробки для заделок должны быть изготовлены из древесины той же породы, что и детали, иметь одинаковое с ними направление волокон и устанавливаться плотно на клею.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изделии на лицевых поверхностях не рекомендуется более двух заделок, соответствующих по цвету поверхности, на которой они расположены.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2.2.3.1 Размер каждой из заделок должен быть не более 5 см</w:t>
      </w:r>
      <w:r w:rsidR="00C22520" w:rsidRPr="00C22520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917-93 Мебель для сидения и лежания. Общие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облицованных деталей и 1,5 см</w:t>
      </w:r>
      <w:r w:rsidR="00C22520" w:rsidRPr="00C2252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9917-93 Мебель для сидения и лежания. Общие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деталей из массивной древесины.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лицевых поверхностях, облицованных декоративным облицовочным материалом (пленкой, пластиком и др.), заделки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облицовывании деталей волокна древесины облицовки должны быть расположены под углом 45-90° по отношению к волокнам древесины 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совпадение направления волокон древесины чистовой облицовки и древесины брусковых деталей, если отношение ширины детали к толщине не более 3:1, а для царг кроватей - не более 5:1.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черновой облицовки волокна древесины шпона должны быть расположены под углом 45-90° по отношению к направлению волокон древесины детали.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 Спинка и сиденье мебели для сидения и лежания могут быть мягкими и жесткими.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жестким относятся элементы мебели без настила или с настилом толщиной до 20 мм включительно.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Мягкие элементы в зависимости от категорий должны иметь показатели мягкости по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7"/>
        <w:gridCol w:w="3677"/>
        <w:gridCol w:w="4033"/>
      </w:tblGrid>
      <w:tr w:rsidR="000D1B0E" w:rsidTr="000D1B0E">
        <w:trPr>
          <w:trHeight w:val="15"/>
        </w:trPr>
        <w:tc>
          <w:tcPr>
            <w:tcW w:w="2772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мягкости элементов мебели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Деформация мягкого элемента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под нагрузкой 70 даН,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Податливость,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/даН</w:t>
            </w:r>
          </w:p>
        </w:tc>
      </w:tr>
      <w:tr w:rsidR="000D1B0E" w:rsidTr="000D1B0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2,4 до 4,2</w:t>
            </w:r>
          </w:p>
        </w:tc>
      </w:tr>
      <w:tr w:rsidR="000D1B0E" w:rsidTr="000D1B0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95 до 115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1,7 до 2,3</w:t>
            </w:r>
          </w:p>
        </w:tc>
      </w:tr>
      <w:tr w:rsidR="000D1B0E" w:rsidTr="000D1B0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70 до 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1,3 до 1,6</w:t>
            </w:r>
          </w:p>
        </w:tc>
      </w:tr>
      <w:tr w:rsidR="000D1B0E" w:rsidTr="000D1B0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 до 65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0,5 до 1,2</w:t>
            </w:r>
          </w:p>
        </w:tc>
      </w:tr>
      <w:tr w:rsidR="000D1B0E" w:rsidTr="000D1B0E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15 до 45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0,2 до 0,4</w:t>
            </w:r>
          </w:p>
        </w:tc>
      </w:tr>
      <w:tr w:rsidR="000D1B0E" w:rsidTr="000D1B0E">
        <w:tc>
          <w:tcPr>
            <w:tcW w:w="109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полученные при испытании показатели деформации и податливости соответствуют смежным категориям, а также в случаях, когда показатели находятся между категориями, мягкость элементов следует относить к категории, которой соответствует наименьший показатель.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Показатели мягкости (деформация и податливость) спального места кровати на гибком или эластичном основаниях должны быть в пределах одной категории.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Категории мягкости для мягких элементов детской мебели не устанавливаются.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2.2.5.1 Мягкие элементы мебели в зависимости от функционального назначения изделия должны иметь категорию мягкости по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3"/>
        <w:gridCol w:w="4313"/>
        <w:gridCol w:w="1531"/>
        <w:gridCol w:w="1760"/>
      </w:tblGrid>
      <w:tr w:rsidR="000D1B0E" w:rsidTr="000D1B0E">
        <w:trPr>
          <w:trHeight w:val="15"/>
        </w:trPr>
        <w:tc>
          <w:tcPr>
            <w:tcW w:w="2957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мягкости*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Функциональное назначение изделий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мебели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20400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мебели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мебели для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общественных помещений</w:t>
            </w:r>
          </w:p>
        </w:tc>
      </w:tr>
      <w:tr w:rsidR="000D1B0E" w:rsidTr="000D1B0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отдыха в положении сидя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Кресло для отдыха, диван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0-IV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Банкетка, пуф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I-IV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Скамья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</w:tr>
      <w:tr w:rsidR="000D1B0E" w:rsidTr="000D1B0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длительного отдыха в положении лежа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Матрац: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односторонней и двухсторонней мягкости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двухсторонней мягкости, </w:t>
            </w:r>
            <w:proofErr w:type="gramStart"/>
            <w:r>
              <w:rPr>
                <w:color w:val="2D2D2D"/>
                <w:sz w:val="18"/>
                <w:szCs w:val="18"/>
              </w:rPr>
              <w:t>предназначенный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для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использования на гибком или эластичном основании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I, II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I, II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Кровать: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гибким или эластичным</w:t>
            </w:r>
            <w:r>
              <w:rPr>
                <w:color w:val="2D2D2D"/>
                <w:sz w:val="18"/>
                <w:szCs w:val="18"/>
              </w:rPr>
              <w:br/>
              <w:t>основанием и матрацем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 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 I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жестким основанием и</w:t>
            </w:r>
            <w:r>
              <w:rPr>
                <w:color w:val="2D2D2D"/>
                <w:sz w:val="18"/>
                <w:szCs w:val="18"/>
              </w:rPr>
              <w:br/>
              <w:t>матрацем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Диван-кровать в положении "кровать":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гибким основанием из гнутоклееных пластин, расположенных по всей площади спального места, с настилом (матрацем)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0-II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0-II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жестким основанием и мягкими элементами, изготовленными на основе пружинных блоков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I, II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I, II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различными схемами трансформации, различными настилами и видами оснований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I-III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I-III</w:t>
            </w:r>
          </w:p>
        </w:tc>
      </w:tr>
      <w:tr w:rsidR="000D1B0E" w:rsidTr="000D1B0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кратковременного отдыха в положении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лежа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Кушетка, тахта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0-III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I-IV</w:t>
            </w:r>
          </w:p>
        </w:tc>
      </w:tr>
      <w:tr w:rsidR="000D1B0E" w:rsidTr="000D1B0E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Кресло-кровать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I-III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I-III</w:t>
            </w:r>
          </w:p>
        </w:tc>
      </w:tr>
      <w:tr w:rsidR="000D1B0E" w:rsidTr="000D1B0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работы сидя и кратк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временного отдыха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Стул, рабочее кресло, табурет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II-IV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II-IV</w:t>
            </w:r>
          </w:p>
        </w:tc>
      </w:tr>
      <w:tr w:rsidR="000D1B0E" w:rsidTr="000D1B0E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Мягкость определяется с учетом основания сиденья, спинки, спального места.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112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Категорию мягкости изделий, предназначенных для работы и отдыха в положении сидя, определяют по показателю сиденья.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Спинка изделия, неприменяемая в формировании спального места, может быть жесткой или любой категории мягкости, отличающейся от категории мягкости сидения. Мягкость спинки, вкладных и раскладных элементов, которые при формировании "спального места" располагаются "в ногах" или "в изголовье", могут отличаться на одну или две категории от мягкости центрального элемента.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Спинка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дивана-кровати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трансформирующаяся в положение "кровать" по ширине спального места, должна иметь ту же категорию мягкости, что и сиденье.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2.2.5, 2.2.5.1 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2.2.5.2 (Исключен,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2.2.5.2.1 Мягкие элементы, облицованные тканью и сформированные из пенорезины или нескольких настилочных материалов, где верхний слой - пенорезина, должны иметь дополнительный настилочный слой толщиной не менее 3 мм из рулонных или пластовых материалов, изготовленных из натуральных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формировании мягких элементов из пенорезины с облицовкой натуральной или искусственной кожей дополнительного настилочного слоя не требуется.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2.2.5.3 Детские матрацы, изготовленные на основе пружинных блоков с настилочным слоем из полимерных или синтетических материалов, беспружинные матрацы из полимерных или синтетических материалов должны иметь дополнительный настилочный слой толщиной не менее 3 мм из рулонных или пластовых материалов, изготовленных из натуральных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Общая толщина настилочного слоя в матрацах двухсторонней мягкости на основе пружинных блоков должна быть не менее 30 мм с каждой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Швы на наволочках детских матрацев допускаются только на боковых сторонах.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2.2.5.4 Мягкие элементы на основе пружинных блоков при эксплуатации не должны издавать шума в виде щелчков и скрипа.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 Основания мягких элементов могут быть жесткими, эластичными, гибкими или комбинированными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приложение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допускается применять в основаниях кроватей резиновые ленты, полотнища и ленты из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жесткое основание под пружинные блоки должен укладываться слой ваты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5679</w:t>
      </w:r>
      <w:r>
        <w:rPr>
          <w:rFonts w:ascii="Arial" w:hAnsi="Arial" w:cs="Arial"/>
          <w:color w:val="2D2D2D"/>
          <w:spacing w:val="2"/>
          <w:sz w:val="18"/>
          <w:szCs w:val="18"/>
        </w:rPr>
        <w:t>, ватина, ватилина или другого пластового или рулонного материала толщиной не менее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 Облицовочный материал мягких элементов должен быть закреплен с соблюдением симметрии рисунка, без морщин и перекосов.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Морщины на облицовочном материале мягких элементов, возникающие после снятия нагрузок и исчезающие после легкого разглаживания рукой, не учитываются.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Складки на облицовочном материале, обусловленные художественным решением изделия, должны быть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предусмотрены в технической документации на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изделиях, имеющих основание из древесины или древесных материалов, покровный и облицовочный материал, кроме съемных чехлов, рекомендуется крепить скобами или клеем.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креплении скобами или гвоздями на всех поверхностях, кроме поверхностей в сопрягаемых соединениях, облицовочную ткань при отсутствии кромок рекомендуется подвертывать по краям или обметывать на краеобметочной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2.2.7.2 Облицовочный материал мягких элементов на углах должен быть расправлен и зашит нитками, подобранными по цвету.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стульев, рабочих кресел, банкеток и скамей в мягких элементах высотой до 50 мм облицовочный материал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может быть плотно затянут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углам без прошивки.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 швы на лицевой поверхности мягких элементов, кроме случаев, когда наличие швов обусловлено художественным решением изделия, что должно быть предусмотрено в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внутренних видимых поверхностях мягких элементов допускается заменять облицовочный материал другим, соответствующим утвержденному образцу-эталону.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2.2.8 Требования к фурнитуре, металлическим поверхностям и их покрытиям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16371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Фурнитура, выходящая на поверхность изделий, должна быть без заусенцев, ребра торцов погонажных деталей и ребра механизмов трансформации должны быть притуплены.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 Конструкция изделий с отделениями для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постельных принадлежностей должна обеспечивать фиксирование мягких элементов в положении, открывающем доступ к этим отделениям.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2.2.10 Ребра в изделиях детской мебели, с которыми в процессе эксплуатации соприкасается человек, должны быть смягчены. Минимальный радиус закругления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2.2.11 Трансформируемые, выдвижные и раздвижные элементы изделий должны иметь свободный ход без заеданий и перекосов.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эксплуатации трансформируемых изделий должна быть обеспечена их безопасность для жизни и здоровья человека при условии соблюдения правил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2.2.12 Предельные отклонения от габаритных размеров изделий не должны превышать ±5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мебели, габаритные размеры которой определяются размерами мягкого элемента (кроме стульев и матрацев), предельные отклонения от габаритных размеров не должны превышать ±20 мм. Для стульев и матрацев эти предельные отклонения не должны превышать ±10 мм. Предельные отклонения по высоте матраца не должны превышать ±15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Предельные отклонения от габаритных размеров изделий, определяемых по деталям из металла, пластмасс или гнутоклееным деталям, не должны превышать указанных в технической документации на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2.2.13 Детали и сборочные единицы изделий, поставляемых потребителю в разобранном виде, должны быть изготовлены с точностью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6449.1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6449.5</w:t>
      </w:r>
      <w:r>
        <w:rPr>
          <w:rFonts w:ascii="Arial" w:hAnsi="Arial" w:cs="Arial"/>
          <w:color w:val="2D2D2D"/>
          <w:spacing w:val="2"/>
          <w:sz w:val="18"/>
          <w:szCs w:val="18"/>
        </w:rPr>
        <w:t>, обеспечивающей неоднократную сборку и разборку изделий без дополнительной подгонки.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2.2.14 Облицовочные материалы, группу или категорию защитно-декоративных покрытий, форму мебели для общественных помещений рекомендуется выбирать с учетом систематической уборки их влажным способом или пылесосом.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2.2.15 Контролируемые показатели мебели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8"/>
        <w:gridCol w:w="1060"/>
        <w:gridCol w:w="899"/>
        <w:gridCol w:w="1750"/>
      </w:tblGrid>
      <w:tr w:rsidR="000D1B0E" w:rsidTr="000D1B0E">
        <w:trPr>
          <w:trHeight w:val="15"/>
        </w:trPr>
        <w:tc>
          <w:tcPr>
            <w:tcW w:w="7577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показателя в зависимости от эксплуатационного назначения мебели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общес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венных поме-</w:t>
            </w:r>
            <w:r>
              <w:rPr>
                <w:color w:val="2D2D2D"/>
                <w:sz w:val="18"/>
                <w:szCs w:val="18"/>
              </w:rPr>
              <w:br/>
              <w:t>щений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театральн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зрелищных предприятий, спортивных сооружений, залов ожидания транспортных средств</w:t>
            </w:r>
          </w:p>
        </w:tc>
      </w:tr>
      <w:tr w:rsidR="000D1B0E" w:rsidTr="000D1B0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СТУЛЬЯ, ТАБУРЕТЫ, РАБОЧИЕ КРЕСЛА, ПУФЫ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[1]: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Табуретов, пуфов и стульев в направлениях вперед и вбок,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стульев со спинками высотой менее 50 мм в направлении назад,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стульев со спинками высотой 50 мм и более в направлении назад,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сиденья, даН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спинки, даН [2],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этом уравновешивающая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подлокотников (боковин) в боковом направлении, даН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подголовника в боковом направлении, даН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подлокотников (боковин) под действием вертикальной нагрузки, даН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ножек, даН: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действии нагрузки вперед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этом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действии нагрузки вбок,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этом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коробчатых оснований при нагружении по диагонали, даН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(усталость) сиденья, циклы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(усталость) спинки, циклы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этом уравновешивающая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Ударная прочность сиденья: высота падения груза,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[2]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прочность спинки и подлокотника [2]: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груза,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 падения груза, град.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изделия при падении на пол [2]: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стулья и </w:t>
            </w:r>
            <w:proofErr w:type="gramStart"/>
            <w:r>
              <w:rPr>
                <w:color w:val="2D2D2D"/>
                <w:sz w:val="18"/>
                <w:szCs w:val="18"/>
              </w:rPr>
              <w:t>табуреты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штабелируемые или специальной конструкции с ножками или опорами длиной более 200 мм: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изделия,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 падения изделия, град.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стулья, табуреты, пуфы нештабелируемые, с роликовыми опорами или плавно </w:t>
            </w:r>
            <w:r>
              <w:rPr>
                <w:color w:val="2D2D2D"/>
                <w:sz w:val="18"/>
                <w:szCs w:val="18"/>
              </w:rPr>
              <w:lastRenderedPageBreak/>
              <w:t>вращающимися опорами, с ножками или опорами длиной более 200 мм: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высота падения изделия,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 падения изделия, град.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Стулья, пуфы и табуреты с ножками или опорами длиной менее 200 мм: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изделия,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 падения изделия, град.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деревянных стульев, циклы качания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поворотных опор и опор качения, циклы качения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СТУЛЬЯ, КРЕСЛА, ТАБУРЕТЫ СКЛАДНЫЕ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сиденья, циклы: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жесткого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ткани,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остаточная деформация между опорами (ножками),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спинки, циклы: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жесткой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ткани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подлокотников, циклы: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 действием вертикальной нагрузки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 действием горизонтальной нагрузки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конструкции: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деформация,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кроватей с навесными спинками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кроватей с опорными спинками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опорных элементов к царгам,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соединения опорных спинок кроватей с царгами (на каждое соединение),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царг, циклы нагружения [3]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прочность оснований, циклы нагружения [3]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гибких и эластичных оснований: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циклы нагружения [3]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остаточная деформация,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Усилие трансформации встроенных кроватей, даН,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встроенных кроватей при падении,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СТУЛЬЯ ДЕТСКИЕ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Устойчивость, град.,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ростовых номеров 00,0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для ростовых номеров 1, 2, 3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трансформируемых, даН, не менее: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направлении "вперед"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направлении "назад", "влево", "вправо"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каркаса трансформируемых стульев в каждом направлении: "вперед", "назад", "влево", "вправо"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падения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стола и подножки трансформируемого стула,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сиденья стула к металлическому каркасу,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накладной спинки стула к металлическому каркасу, даН, для ростовых номеров 1, 2, 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стульев столярных, гнутоклееных и смешанной конструкции, циклы качания: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ростовых номеров 1, 2, 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падении на пол стульев ростовых номеров 00, 0 [1]: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штабелируемых стульев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нештабелируемых стульев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сиденья, даН, для ростовых номеров: 1, 2, 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КРОВАТИ, ТИП I (для детей до трех лет) [4]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Устойчивость, даН,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испытании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28777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испытании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28777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(приложение 3)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Деформируемость стоек ограждения под нагрузкой,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Остаточная деформация стоек ограждения,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поперечных брусков ограждения при испытании на удар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28777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(приложение 3),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стоек (щитов) ограждения при испытании на удар,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стоек при испытании на изгиб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28777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(приложение 3),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 в каждой точке нагружения,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этом деформация,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испытании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28777</w:t>
            </w:r>
            <w:r>
              <w:rPr>
                <w:color w:val="2D2D2D"/>
                <w:sz w:val="18"/>
                <w:szCs w:val="18"/>
              </w:rPr>
              <w:t>, по схеме рисунка 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испытании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28777</w:t>
            </w:r>
            <w:r>
              <w:rPr>
                <w:color w:val="2D2D2D"/>
                <w:sz w:val="18"/>
                <w:szCs w:val="18"/>
              </w:rPr>
              <w:t>, по схеме рисунка 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КРОВАТИ, ТИП II (для детей от 3 до 7 лет)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этом деформация,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опорными спинками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навесными спинками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 в каждой испытываемой точке,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ДВУХЪЯРУСНЫЕ КРОВАТИ [5]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Устойчивость, даН,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ограждения верхнего яруса,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верхнего яруса,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конструкции,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основания,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крепления лестницы, даН: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вертикальной нагрузке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горизонтальной нагрузке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каждой ступени лестницы, циклы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МЯГКИЕ ЭЛЕМЕНТЫ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пружинных мягких элементов, используемых в качестве спального места,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этом усадка,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односторонней мягкости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двусторонней мягкости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неравномерность усадки мягкого элемента односторонней и двусторонней мягкости,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Остаточная деформация беспружинных мягких элементов,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ДИВАНЫ, </w:t>
            </w:r>
            <w:proofErr w:type="gramStart"/>
            <w:r>
              <w:rPr>
                <w:color w:val="2D2D2D"/>
                <w:sz w:val="18"/>
                <w:szCs w:val="18"/>
              </w:rPr>
              <w:t>ДИВАНЫ-КРОВАТИ</w:t>
            </w:r>
            <w:proofErr w:type="gramEnd"/>
            <w:r>
              <w:rPr>
                <w:color w:val="2D2D2D"/>
                <w:sz w:val="18"/>
                <w:szCs w:val="18"/>
              </w:rPr>
              <w:t>, КРЕСЛА ДЛЯ ОТДЫХА, КРЕСЛА-КРОВАТИ, КУШЕТКИ, ТАХТЫ, СКАМЬИ, БАНКЕТКИ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одноместных изделий для сидения, даН, не менее в направлениях: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вперед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назад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вбок: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изделий без боковин (подлокотников), даН,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изделий с боковинами (подлокотниками) под действием груза массой 35 кг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многоместных изделий для сидения в направлениях: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вперед и назад, даН,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трансформируемых изделий для лежания под действием двух грузов массой 60 кг </w:t>
            </w:r>
            <w:r>
              <w:rPr>
                <w:color w:val="2D2D2D"/>
                <w:sz w:val="18"/>
                <w:szCs w:val="18"/>
              </w:rPr>
              <w:lastRenderedPageBreak/>
              <w:t>каждый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Устойчиво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Статическая прочность навесных боковин: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нагрузка,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80,0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опор (ножек) в поперечном и продольном направлениях: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нагрузка, даН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Долговечность (кроме сидений, спинок и спального места </w:t>
            </w:r>
            <w:proofErr w:type="gramStart"/>
            <w:r>
              <w:rPr>
                <w:color w:val="2D2D2D"/>
                <w:sz w:val="18"/>
                <w:szCs w:val="18"/>
              </w:rPr>
              <w:t>диванов-кроватей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кресел-кроватей, изготовленных на основе пружинных блоков, участвующих в формировании спального места):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сиденья,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спинки,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боковины,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спального места, 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этом остаточная деформация изделий с эластичным или гибким основаниями,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прочность сиденья или спального места: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груза,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 емкости для хранения постельных принадлежностей, даН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Расчетная нагрузка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19120</w:t>
            </w:r>
            <w:r>
              <w:rPr>
                <w:color w:val="2D2D2D"/>
                <w:sz w:val="18"/>
                <w:szCs w:val="18"/>
              </w:rPr>
              <w:t>, зависящая от объема емкости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Усилие трансформации спальных мест </w:t>
            </w:r>
            <w:proofErr w:type="gramStart"/>
            <w:r>
              <w:rPr>
                <w:color w:val="2D2D2D"/>
                <w:sz w:val="18"/>
                <w:szCs w:val="18"/>
              </w:rPr>
              <w:t>дивана-кровати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(или его секций), даН, не более [9]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каркаса при падении [9]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падений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подсадных ножек*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16371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КРЕСЛА-КАЧАЛКИ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Устойчивость: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 опрокидывания при воздействии рукой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Долговечность при </w:t>
            </w:r>
            <w:proofErr w:type="gramStart"/>
            <w:r>
              <w:rPr>
                <w:color w:val="2D2D2D"/>
                <w:sz w:val="18"/>
                <w:szCs w:val="18"/>
              </w:rPr>
              <w:t>горизонтальном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нагружении боковин, циклы нагружения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Прочность под действием ударной нагрузки: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груза,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D1B0E" w:rsidTr="000D1B0E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Определяется при типовых испытаниях, связанных с изменением конструкции, материала или способа крепления ножки.</w:t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2.2.16 Показатели долговечности пружинных мягких элементов не распространяются на изделия детской мебели.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многоярусных кроватях все кровати, используемые как верхние, расположенные на высоте 800 мм и более от пола, должны быть снабжены ограждением с четырех сторон. Ограждения должны быть закреплены так, чтобы их можно было удалить только с помощью инструмента. Допускается отсутствие ограждения в ножной части кровати, если вместо него предусмотрено наличие стационарной лестницы, ступени которой расположены по всей ширине проема и могут выполнять дополнительную функцию емкости для хранения (ящики).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верхней кромкой ограждения и верхней поверхностью основания кровати должно быть не менее 260 мм, между верхней кромкой ограждения и верхней поверхностью матраца - не менее 160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матраца. В инструкции по сборке должны быть даны рекомендации по габаритным размерам матраца, которым будет укомплектована кровать [5].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2.2.18 Многоярусные кровати должны быть снабжены приставной лестницей.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Лестница может быть неотъемлемой частью конструкции кровати.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Одна из наибольших сторон ограждения может быть полностью разъединена приставной лестницей. Величина разъема ограждения для приставной лестницы должна быть от 300 до 400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верхними поверхностями двух следующих друг за другом ступеней лестницы должно быть (250±50) мм. Расстояние между ступенями должно быть одинаковым, с предельным отклонением ±2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двумя последовательно расположенными ступенями должно быть не менее 200 мм; полезная длина ступени - не менее 300 мм [5].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2.2.19 Зазоры между основанием кровати, царгами, спинками и элементами ограждения не должны превышать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кровати должно пропускать воздух.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2.2.17-2.2.19 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 Требования к материалам и комплектующим изделиям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мебели не допускается применять: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фанеру класса эмиссии формальдегида Е2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3916.1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3916.2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плиты древесностружечные класса эмиссии Е2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10632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мягкие древесноволокнистые плиты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4598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клеевые материалы, которые вызывают изменение цвета поверхности с защитно-декоративным покрытием.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2.3.1.1 Детали мебели из древесно-стружечной плиты должны быть облицованы или иметь защитное или защитно-декоративное покрытие, кроме невидимых поверхностей в сопрягаемых соединениях, отверстий в местах установки фурнитуры, кромок щитов, остающихся неприкрытыми при установке накладной задней стенки или “в четверть”.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отсутствие защитных покрытий и облицовки на внутренних невидимых поверхностях мебели, если выделение летучих химических веществ в воздух жилых помещений не превышает уровни, установленные национальными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материалы, предназначенные для изготовления мебели, рекомендуется иметь гигиеническое заключение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детских матрацев применяют материалы, разрешенные национальными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 качестве облицовочных материалов применяют ткани, изготовленные из натуральных волокон. Влажность стружки древесной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5244</w:t>
      </w:r>
      <w:r>
        <w:rPr>
          <w:rFonts w:ascii="Arial" w:hAnsi="Arial" w:cs="Arial"/>
          <w:color w:val="2D2D2D"/>
          <w:spacing w:val="2"/>
          <w:sz w:val="18"/>
          <w:szCs w:val="18"/>
        </w:rPr>
        <w:t>, используемой для изготовления детских матрацев, должна быть (14±2)%.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 Маркировка мебели для сидения и лежания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16371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маркировке мебели для сидения и лежания указывают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маркировке детских стульев для общественных помещений должны быть указаны в числителе - ростовой номер, в знаменателе - средний рост детей.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 наружной видимой поверхности детских стульев должна быть нанесена цветовая маркировка в виде круга диаметром не менее 10 мм или горизонтальной полосы размером не менее 10х15 мм следующих цветов - в зависимости от ростовых номеров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19301.2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54"/>
        <w:gridCol w:w="1848"/>
        <w:gridCol w:w="185"/>
        <w:gridCol w:w="480"/>
      </w:tblGrid>
      <w:tr w:rsidR="000D1B0E" w:rsidTr="000D1B0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rPr>
          <w:gridAfter w:val="1"/>
          <w:wAfter w:w="480" w:type="dxa"/>
        </w:trPr>
        <w:tc>
          <w:tcPr>
            <w:tcW w:w="185" w:type="dxa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черный,</w:t>
            </w:r>
          </w:p>
        </w:tc>
        <w:tc>
          <w:tcPr>
            <w:tcW w:w="185" w:type="dxa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185" w:type="dxa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белый,</w:t>
            </w:r>
          </w:p>
        </w:tc>
        <w:tc>
          <w:tcPr>
            <w:tcW w:w="185" w:type="dxa"/>
            <w:gridSpan w:val="2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185" w:type="dxa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оранжевый,</w:t>
            </w:r>
          </w:p>
        </w:tc>
        <w:tc>
          <w:tcPr>
            <w:tcW w:w="185" w:type="dxa"/>
            <w:gridSpan w:val="2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185" w:type="dxa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фиолетовый,</w:t>
            </w:r>
          </w:p>
        </w:tc>
        <w:tc>
          <w:tcPr>
            <w:tcW w:w="185" w:type="dxa"/>
            <w:gridSpan w:val="2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185" w:type="dxa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желтый.</w:t>
            </w:r>
          </w:p>
        </w:tc>
        <w:tc>
          <w:tcPr>
            <w:tcW w:w="185" w:type="dxa"/>
            <w:gridSpan w:val="2"/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 нанесения цветовой маркировки должен обеспечивать ее сохранность в течение срока эксплуатации мебели.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2.5.1 Упаковка мебели для сидения и лежания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16371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2.5.1.1 Изделия, к которым не могут быть прикреплены бумажные ярлыки, должны иметь ярлыки из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упаковке бытовой мебели должен быть прикреплен образец облицовочной ткани. В случае отсутствия упаковки или применения прозрачной (полиэтиленовой) упаковки образец ткани должен быть прикреплен к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и размеры образцов облицовочной ткани, а также число изделий, к которым они прикрепляются, должны обеспечить возможность передачи образцов ткани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Приемка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Мебель предъявляют к приемке партиями.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Партией считают число изделий, наборов, гарнитуров одного наименования, оформленное одним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партии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3.2. Для проверки мебели на соответствие требованиям настоящего стандарта контролируют параметры и показатели, указанные в таблице 4.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6"/>
        <w:gridCol w:w="1032"/>
        <w:gridCol w:w="1060"/>
        <w:gridCol w:w="1037"/>
        <w:gridCol w:w="1045"/>
        <w:gridCol w:w="1033"/>
        <w:gridCol w:w="1334"/>
      </w:tblGrid>
      <w:tr w:rsidR="000D1B0E" w:rsidTr="000D1B0E">
        <w:trPr>
          <w:trHeight w:val="15"/>
        </w:trPr>
        <w:tc>
          <w:tcPr>
            <w:tcW w:w="4435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испытаний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сдаточ-</w:t>
            </w:r>
            <w:r>
              <w:rPr>
                <w:color w:val="2D2D2D"/>
                <w:sz w:val="18"/>
                <w:szCs w:val="18"/>
              </w:rPr>
              <w:br/>
              <w:t>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дические, квалифи-</w:t>
            </w:r>
            <w:r>
              <w:rPr>
                <w:color w:val="2D2D2D"/>
                <w:sz w:val="18"/>
                <w:szCs w:val="18"/>
              </w:rPr>
              <w:br/>
              <w:t>каци-</w:t>
            </w:r>
            <w:r>
              <w:rPr>
                <w:color w:val="2D2D2D"/>
                <w:sz w:val="18"/>
                <w:szCs w:val="18"/>
              </w:rPr>
              <w:br/>
              <w:t>онные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типовые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целей обяз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тельного подтвер-</w:t>
            </w:r>
            <w:r>
              <w:rPr>
                <w:color w:val="2D2D2D"/>
                <w:sz w:val="18"/>
                <w:szCs w:val="18"/>
              </w:rPr>
              <w:br/>
              <w:t>ждения соответ-</w:t>
            </w:r>
            <w:r>
              <w:rPr>
                <w:color w:val="2D2D2D"/>
                <w:sz w:val="18"/>
                <w:szCs w:val="18"/>
              </w:rPr>
              <w:br/>
              <w:t>ствия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ческих требо-</w:t>
            </w:r>
            <w:r>
              <w:rPr>
                <w:color w:val="2D2D2D"/>
                <w:sz w:val="18"/>
                <w:szCs w:val="18"/>
              </w:rPr>
              <w:br/>
              <w:t>ваний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контроля</w:t>
            </w:r>
          </w:p>
        </w:tc>
      </w:tr>
      <w:tr w:rsidR="000D1B0E" w:rsidTr="000D1B0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Функциональные размеры*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1.1, 1.2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Применяемые материалы*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Влажность деталей*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16371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вид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4.2, 4.3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Комплектность и возможность сборки без дополнительной подгонки мебели, поставляемой в разобранном виде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формированию мягких элементов мебели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2.2.5.2.1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детских матрацев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4.2, 4.1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основаниям мягких элементов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Трансформация элементов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2.2.11.1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Габаритные размеры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сборки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фурнитуре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30725">
              <w:rPr>
                <w:sz w:val="18"/>
                <w:szCs w:val="18"/>
              </w:rPr>
              <w:t>ГОСТ 16371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СТУЛЬЯ, ТАБУРЕТЫ, РАБОЧИЕ КРЕСЛА, ПУФЫ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сиденья, спинки, подголовника, подлокотников (боковин), ножек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коробчатых оснований при нагружении по диагонали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деревянных стульев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(усталость) спинки, сиденья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поворотных опор и опор качения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прочность сиденья, спинки, подлокотника (боковины)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падении на пол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КРОВАТИ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Долговечность конструкции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опорных элементов к царгам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соединения опорных спинок кроватей с царгами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царг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прочность оснований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гибких и эластичных оснований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встроенных кроватей при падении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ДЕТСКАЯ МЕБЕЛЬ: СТУЛЬЯ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каркасов, стола и подножки трансформируемого стула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сиденья, накладной спинки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стульев столярных, гнутоклееных и смешанной конструкции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падении на пол стульев ростовых номеров 00, 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сиденья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КРОВАТИ, ТИП 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Деформируемость стоек ограждения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Остаточная деформация стоек ограждения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стоек (щитов) ограждения при испытании на удар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поперечных брусков ограждения при испытании на удар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стоек при испытании на изгиб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(усталость)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КРОВАТИ, ТИП 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ДВУХЪЯРУСНЫЕ КРОВАТИ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4.11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ограждения верхнего яруса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верхнего яруса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конструкции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и долговечность основания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крепления лестницы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каждой ступени лестницы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4.16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4.1, 4.3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4.1, 4.3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4.1, 4.3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ДИВАНЫ, </w:t>
            </w:r>
            <w:proofErr w:type="gramStart"/>
            <w:r>
              <w:rPr>
                <w:color w:val="2D2D2D"/>
                <w:sz w:val="18"/>
                <w:szCs w:val="18"/>
              </w:rPr>
              <w:t>ДИВАНЫ-КРОВАТИ</w:t>
            </w:r>
            <w:proofErr w:type="gramEnd"/>
            <w:r>
              <w:rPr>
                <w:color w:val="2D2D2D"/>
                <w:sz w:val="18"/>
                <w:szCs w:val="18"/>
              </w:rPr>
              <w:t>, КРЕСЛА ДЛЯ ОТДЫХА, КРЕСЛА-КРОВАТИ, КУШЕТКИ, ТАХТЫ, СКАМЬИ, БАНКЕТКИ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Статическая прочность навесных боковин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опор (ножек)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Долговечность: сиденья, спинки, боковин, спального места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Ударная прочность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основания емкости для хранения постельных принадлежностей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Усилие трансформации спальных мест </w:t>
            </w:r>
            <w:proofErr w:type="gramStart"/>
            <w:r>
              <w:rPr>
                <w:color w:val="2D2D2D"/>
                <w:sz w:val="18"/>
                <w:szCs w:val="18"/>
              </w:rPr>
              <w:t>дивана-кровати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(или его секций), кресла-кровати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каркаса при падении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КРЕСЛА-КАЧАЛКИ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Долговечность при </w:t>
            </w:r>
            <w:proofErr w:type="gramStart"/>
            <w:r>
              <w:rPr>
                <w:color w:val="2D2D2D"/>
                <w:sz w:val="18"/>
                <w:szCs w:val="18"/>
              </w:rPr>
              <w:t>горизонтальном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нагружении боковин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под действием ударной нагрузки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МЯГКИЕ ЭЛЕМЕНТЫ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 пружинных мягких элементов, используемых для лежания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Остаточная деформация беспружинных мягких элементов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4.14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Мягкость мягких элементов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2.2.5, 2.2.5.1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крепления подсадных ножек</w:t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МЕБЕЛЬ ДЛЯ СИДЕНИЯ И ЛЕЖАНИЯ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4.13</w:t>
            </w:r>
          </w:p>
        </w:tc>
      </w:tr>
      <w:tr w:rsidR="000D1B0E" w:rsidTr="000D1B0E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Уровни летучих химических веществ, выделяющихся при эксплуатации мебели в воздух жилых помещений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4.17</w:t>
            </w:r>
          </w:p>
        </w:tc>
      </w:tr>
      <w:tr w:rsidR="000D1B0E" w:rsidTr="000D1B0E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Параметры контролируются в процессе производства изделия.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Знак "+" означает, что данный параметр контролируется, знак "</w:t>
            </w:r>
            <w:proofErr w:type="gramStart"/>
            <w:r>
              <w:rPr>
                <w:color w:val="2D2D2D"/>
                <w:sz w:val="18"/>
                <w:szCs w:val="18"/>
              </w:rPr>
              <w:t>-"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- не контролируется.</w:t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 видов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16504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приемо-сдаточных испытаниях: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внешний вид, трансформацию изделий и качество сборки необходимо проверять на каждом изделии предъявленной партии.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получении неудовлетворительных результатов хотя бы по одному показателю изделие бракуют и дальнейшей проверке не подвергают;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шероховатость поверхности, не имеющей защитно-декоративных покрытий, комплектность и возможность сборки без дополнительной подгонки изделий, поставляемых в разобранном виде, габаритные размеры следует проверять на 3% изделий от партии, но не менее 2 шт., отобранных методом случайного отбора.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окажется хотя бы одно изделие, не соответствующее требованиям настоящего стандарта, проводят повторную проверку удвоенного числа изделий, взятых от той же партии, по показателям, по которым были получены неудовлетворительные результаты.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результате повторной проверки окажется хотя бы одно изделие, не соответствующее требованиям настоящего стандарта, партию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Мебель подвергают приемочным*, квалификационным, периодическим, типовым испытаниями, а также для целей обязательного подтверждения соответствия (обязательная сертификация, декларирование соответствия).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Приемочные испытания проводят при освоении новых изделий по программе и методикам, предусмотренным в действующей нормативной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3.4.1 Испытаниям для целей обязательного подтверждения соответствия, а также квалификационным и периодическим подвергают изделия, прошедшие приемосдаточные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для целей подтверждения соответствия допускается совмещать с приемочными, квалификационными и периодическими испытаниями, проведенными в аккредитованных испытательных центрах (лабораториях).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3.4, 3.4.1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испытаний от партии следует отбирать методом случайного отбора образцы в количестве, указанном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28"/>
        <w:gridCol w:w="2255"/>
        <w:gridCol w:w="2064"/>
      </w:tblGrid>
      <w:tr w:rsidR="000D1B0E" w:rsidTr="000D1B0E">
        <w:trPr>
          <w:trHeight w:val="15"/>
        </w:trPr>
        <w:tc>
          <w:tcPr>
            <w:tcW w:w="646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изделий, элементов мебели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образцов от партии изделий, шт.</w:t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400 включ.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400</w:t>
            </w:r>
          </w:p>
        </w:tc>
      </w:tr>
      <w:tr w:rsidR="000D1B0E" w:rsidTr="000D1B0E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Кресла, стулья, табуреты, кровати, банкетки, пуфы, диваны, </w:t>
            </w:r>
            <w:proofErr w:type="gramStart"/>
            <w:r>
              <w:rPr>
                <w:color w:val="2D2D2D"/>
                <w:sz w:val="18"/>
                <w:szCs w:val="18"/>
              </w:rPr>
              <w:t>диваны-кровати</w:t>
            </w:r>
            <w:proofErr w:type="gramEnd"/>
            <w:r>
              <w:rPr>
                <w:color w:val="2D2D2D"/>
                <w:sz w:val="18"/>
                <w:szCs w:val="18"/>
              </w:rPr>
              <w:t>, кресла-кровати, кушетки, тахты, скамьи, кресла-качалки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Беспружинные мягкие элементы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Пружинные мягкие элементы: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цельные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D1B0E" w:rsidTr="000D1B0E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составные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Для испытания диванов,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диванов-кроватей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кресел-кроватей, кушеток, тахт, скамей, банкеток одной конструкции, отличающихся декоративным оформлением и (или) числом посадочных мест, отбирают один образец максимального размера - типовой представитель.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квалификационных испытаний приемку изделий на предприятиях прекращают до устранения причин дефектов и получения положительных результатов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периодических испытаний мебель представляют на повторные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повторных периодических испытаний приемку изделий на предприятии прекращают до устранения причин дефектов и получения положительных результатов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3.4.5 Периодические испытания проводят раз в три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3.4.6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(Исключен,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3.4.7 Протоколы испытаний должны быть предъявлены потребителю по его требованию.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соответствии с порядком, установленным национальными органами санитарно-эпидемиологического надзора, на изделия, наборы, гарнитуры мебели при необходимости оформляют санитарно-эпидемиологическое заключение.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Уровни летучих химических веществ, выделяющихся при эксплуатации мебели в воздух жилых помещений, определяются в соответствии с межгосударственными санитарными нормами и правилами или при их отсутствии в соответствии с гигиеническими нормативами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(Ввведен дополнительно,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1. Измененная редакция, Изм. N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4 Методы контроля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Размеры изделий мебели проверяют универсальными измерительными инструментами. В изделиях мебели, поставляемых в разобранном виде, проверяют размеры деталей и (или)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Применение материалов в производстве мебели, требования к основаниям и формированию мягких элементов проверяют по технической документации на изделие, возможность сборки без дополнительной подгонки мебели, поставляемой в разобранном виде, - контрольной сборкой.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Внешний вид, качество сборки, требования к фурнитуре и трансформации изделий должны контролироваться визуально (осмотром изделия) без применения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Показатели мягкости мягких элементов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21640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Долговечность, прочность стульев, табуретов, рабочих кресел, пуфов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12029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Устойчивость стульев, табуретов, рабочих кресел, пуфов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 xml:space="preserve">ГОСТ 30211/ГОСТ </w:t>
      </w:r>
      <w:proofErr w:type="gramStart"/>
      <w:r w:rsidRPr="0023072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50051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 Устойчивость, прочность, долговечность диванов,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диванов-кроватей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кресел-кроватей, кресел для отдыха, кушеток, тахт, скамей, банкеток, кресел-качалок, а также усилие трансформации спальных мест диванов-кроватей и кресел-кроватей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19120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Прочность и долговечность кроватей, усилие трансформации встроенных кроватей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17340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Устойчивость, долговечность и прочность детских стульев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23381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Долговечность, устойчивость, прочность основания, деформируемость и остаточную деформацию стоек ограждения детских кроватей типа I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28777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Долговечность и прочность основания детских кроватей типа II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28777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 Долговечность мягких элементов мебели, сформированных на основе пружинных блоков,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14314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 Прочность крепления подсадных ножек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19194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 Остаточную деформацию беспружинных мягких элементов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19918.3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 Требования пп.4.4-4.8, 4.12-4.13 не распространяют на изделия детской мебели.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 Исполнение, устойчивость двухъярусных кроватей, прочность ограждения верхнего яруса, прочность крепления верхнего яруса, прочность и долговечность основания, долговечность конструкции, статическую прочность крепления лестницы, прочность каждой ступени лестницы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 xml:space="preserve">ГОСТ 30210/ГОСТ </w:t>
      </w:r>
      <w:proofErr w:type="gramStart"/>
      <w:r w:rsidRPr="0023072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50053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4.17 Уровни летучих химических веществ, выделяющихся при эксплуатации мебели в воздух жилых помещений,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30255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действующей нормативной документации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Транспортирование и хранение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мебели для сидения и лежания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16371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Гарантии изготовителя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Изготовитель должен гарантировать соответствие мебели требованиям настоящего стандарта при соблюдении условий транспортирования, эксплуатации, хранения и сборки (в случае поставки мебели в разобранном виде).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 Гарантийный срок эксплуатации изделий детской мебели и мебели для общественных помещений - 12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бытовой - 18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Гарантийный срок при розничной продаже через торговую сеть исчисляется со дня продажи мебели, при внерыночном распределении - со дня получения ее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</w:t>
      </w:r>
    </w:p>
    <w:p w:rsidR="000D1B0E" w:rsidRDefault="000D1B0E" w:rsidP="000D1B0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Мебель для сидения и лежания подразделяют на виды: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 эксплуатационному назначению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БЫТОВАЯ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СПЕЦИАЛЬНАЯ: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Мебель для общественных помещений: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административных помещений (контор, офисов);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библиотечная;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гостиничная;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дошкольных учреждений;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медицинская;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общежитий, здравниц;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предприятий бытового обслуживания;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предприятий общественного питания;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предприятий связи, читальных залов.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для залов ожидания транспортных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для спортивных сооружений.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для театрально-зрелищных предприятий, кроме кресел для зрительных залов.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функциональному назначению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для сидения.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Мебель для лежания.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конструктивно-технологическим признакам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виды мебели, указанные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ГОСТ 20400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(информационное). Нормы ограничения пороков древесины на поверхности деталей из массивной древесины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(информационное)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1495"/>
        <w:gridCol w:w="1533"/>
        <w:gridCol w:w="124"/>
        <w:gridCol w:w="1731"/>
        <w:gridCol w:w="128"/>
        <w:gridCol w:w="1655"/>
        <w:gridCol w:w="1898"/>
      </w:tblGrid>
      <w:tr w:rsidR="000D1B0E" w:rsidTr="000D1B0E">
        <w:trPr>
          <w:trHeight w:val="15"/>
        </w:trPr>
        <w:tc>
          <w:tcPr>
            <w:tcW w:w="2033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Норма ограничения пороков на поверхности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Пороки древесины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30725">
              <w:rPr>
                <w:sz w:val="18"/>
                <w:szCs w:val="18"/>
              </w:rPr>
              <w:t>ГОСТ 2140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под прозрачное покрытие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под непрозрачное покрытие и невидимой при эксплуатации, в том числе под облицовывание и обивку</w:t>
            </w:r>
            <w:proofErr w:type="gramEnd"/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лицевой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внутренней видимой</w:t>
            </w:r>
            <w:proofErr w:type="gramEnd"/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детали мебели, кроме стульев,</w:t>
            </w:r>
            <w:r>
              <w:rPr>
                <w:color w:val="2D2D2D"/>
                <w:sz w:val="18"/>
                <w:szCs w:val="18"/>
              </w:rPr>
              <w:br/>
              <w:t>кресел и т.п.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детали стульев, кресел и т.п.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детали мебели, кроме стульев,</w:t>
            </w:r>
            <w:r>
              <w:rPr>
                <w:color w:val="2D2D2D"/>
                <w:sz w:val="18"/>
                <w:szCs w:val="18"/>
              </w:rPr>
              <w:br/>
              <w:t>кресел и т.п.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детали стульев, кресел и т.п.</w:t>
            </w:r>
          </w:p>
        </w:tc>
      </w:tr>
      <w:tr w:rsidR="000D1B0E" w:rsidTr="000D1B0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 Сучки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Не учитываются размером,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сросшиеся здоровые светлые и темные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1/6 ширины или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толщины детали,</w:t>
            </w:r>
            <w:r>
              <w:rPr>
                <w:color w:val="2D2D2D"/>
                <w:sz w:val="18"/>
                <w:szCs w:val="18"/>
              </w:rPr>
              <w:br/>
              <w:t>но не более 15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Допускаются размером,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1/3 ширины или толщины детали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1/2 ширины или</w:t>
            </w:r>
            <w:r>
              <w:rPr>
                <w:color w:val="2D2D2D"/>
                <w:sz w:val="18"/>
                <w:szCs w:val="18"/>
              </w:rPr>
              <w:br/>
              <w:t>толщины детали, но не более 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1/3 ширины или</w:t>
            </w:r>
            <w:r>
              <w:rPr>
                <w:color w:val="2D2D2D"/>
                <w:sz w:val="18"/>
                <w:szCs w:val="18"/>
              </w:rPr>
              <w:br/>
              <w:t>толщины детали,</w:t>
            </w:r>
            <w:r>
              <w:rPr>
                <w:color w:val="2D2D2D"/>
                <w:sz w:val="18"/>
                <w:szCs w:val="18"/>
              </w:rPr>
              <w:br/>
              <w:t>но не более 30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 на деталь длиной до 1 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 на деталь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 на деталь</w:t>
            </w:r>
            <w:r>
              <w:rPr>
                <w:color w:val="2D2D2D"/>
                <w:sz w:val="18"/>
                <w:szCs w:val="18"/>
              </w:rPr>
              <w:br/>
              <w:t>длиной до 1 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 на деталь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 на деталь длиной св. 1 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шт. на деталь</w:t>
            </w:r>
            <w:r>
              <w:rPr>
                <w:color w:val="2D2D2D"/>
                <w:sz w:val="18"/>
                <w:szCs w:val="18"/>
              </w:rPr>
              <w:br/>
              <w:t>длиной св. 1 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gramStart"/>
            <w:r>
              <w:rPr>
                <w:color w:val="2D2D2D"/>
                <w:sz w:val="18"/>
                <w:szCs w:val="18"/>
              </w:rPr>
              <w:t>здоровые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трещинами, частично сросшиеся, выпадающие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учитываются</w:t>
            </w:r>
            <w:r>
              <w:rPr>
                <w:color w:val="2D2D2D"/>
                <w:sz w:val="18"/>
                <w:szCs w:val="18"/>
              </w:rPr>
              <w:br/>
              <w:t>размером не более 5 мм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учитываются</w:t>
            </w:r>
            <w:r>
              <w:rPr>
                <w:color w:val="2D2D2D"/>
                <w:sz w:val="18"/>
                <w:szCs w:val="18"/>
              </w:rPr>
              <w:br/>
              <w:t>размером не более 10 мм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учитываются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размером до 1/9 ширины или толщины детали, но не более 10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</w:t>
            </w:r>
            <w:proofErr w:type="gramStart"/>
            <w:r>
              <w:rPr>
                <w:color w:val="2D2D2D"/>
                <w:sz w:val="18"/>
                <w:szCs w:val="18"/>
              </w:rPr>
              <w:t>здоровые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трещинами, частично сросшиеся, выпадающие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размером не более 1/3</w:t>
            </w:r>
            <w:r>
              <w:rPr>
                <w:color w:val="2D2D2D"/>
                <w:sz w:val="18"/>
                <w:szCs w:val="18"/>
              </w:rPr>
              <w:br/>
              <w:t>ширины или толщины детали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размером не более 1/3</w:t>
            </w:r>
            <w:r>
              <w:rPr>
                <w:color w:val="2D2D2D"/>
                <w:sz w:val="18"/>
                <w:szCs w:val="18"/>
              </w:rPr>
              <w:br/>
              <w:t>ширины или толщины детали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размером до 1/3 ширины или толщины детали, но не более 30 мм в числе учитываемых сросшихся сучков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шт. на деталь длиной до 1 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 на деталь длиной до 1 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шт. на деталь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 на деталь</w:t>
            </w:r>
            <w:r>
              <w:rPr>
                <w:color w:val="2D2D2D"/>
                <w:sz w:val="18"/>
                <w:szCs w:val="18"/>
              </w:rPr>
              <w:br/>
              <w:t>длиной св. 1 м при условии з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делки пробками</w:t>
            </w:r>
            <w:r>
              <w:rPr>
                <w:color w:val="2D2D2D"/>
                <w:sz w:val="18"/>
                <w:szCs w:val="18"/>
              </w:rPr>
              <w:br/>
              <w:t>и шпатлевкой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 на деталь</w:t>
            </w:r>
            <w:r>
              <w:rPr>
                <w:color w:val="2D2D2D"/>
                <w:sz w:val="18"/>
                <w:szCs w:val="18"/>
              </w:rPr>
              <w:br/>
              <w:t>длиной св. 1 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условии заделки пробками или</w:t>
            </w:r>
            <w:r>
              <w:rPr>
                <w:color w:val="2D2D2D"/>
                <w:sz w:val="18"/>
                <w:szCs w:val="18"/>
              </w:rPr>
              <w:br/>
              <w:t>шпатлевкой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Трещины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длиной не более 1/4 длины детали, глубиной не более 3 мм и шириной до 1,2 мм в количестве 1 шт. на деталь при условии заделки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длиной не более 1/4 длины детали, глубиной не более</w:t>
            </w:r>
            <w:r>
              <w:rPr>
                <w:color w:val="2D2D2D"/>
                <w:sz w:val="18"/>
                <w:szCs w:val="18"/>
              </w:rPr>
              <w:br/>
              <w:t>3 мм и шириной до 1,2 мм в количестве 1 шт. на деталь длиной до 1 м; 2 шт., расположенные последовательно, на деталь длиной св. 1 м, при условии заделки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Пороки строения</w:t>
            </w:r>
            <w:r>
              <w:rPr>
                <w:color w:val="2D2D2D"/>
                <w:sz w:val="18"/>
                <w:szCs w:val="18"/>
              </w:rPr>
              <w:br/>
              <w:t>древесины: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наклон волокон</w:t>
            </w: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отклонение волокон от продольной оси не более 7%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передних но</w:t>
            </w:r>
            <w:proofErr w:type="gramStart"/>
            <w:r>
              <w:rPr>
                <w:color w:val="2D2D2D"/>
                <w:sz w:val="18"/>
                <w:szCs w:val="18"/>
              </w:rPr>
              <w:t>ж-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ках, проножках и гнутопропильных деталях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не более 5%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передних ножках, проножках и гнут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пропильных деталях - не более 5%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б) свилеватость</w:t>
            </w: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шириной не более 1/4 толщины или ширины детали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глазки</w:t>
            </w: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кармашки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  <w:r>
              <w:rPr>
                <w:color w:val="2D2D2D"/>
                <w:sz w:val="18"/>
                <w:szCs w:val="18"/>
              </w:rPr>
              <w:br/>
              <w:t>длиной не более 20 мм, шириной 1,5 мм, глубиной 3,0 мм в количестве 1 шт. на деталь до 1,0 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длиной не более 35 мм, шириной 2,5 мм, глубиной 5,0 мм в количестве 2 шт. на деталь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условии очистки от смолы, камедей, заделки шпатлевкой и крашения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ложное ядро</w:t>
            </w:r>
          </w:p>
        </w:tc>
        <w:tc>
          <w:tcPr>
            <w:tcW w:w="96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внутренняя заболонь, пятнистость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79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Химические окраски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  <w:r>
              <w:rPr>
                <w:color w:val="2D2D2D"/>
                <w:sz w:val="18"/>
                <w:szCs w:val="18"/>
              </w:rPr>
              <w:br/>
              <w:t>при условии</w:t>
            </w:r>
            <w:r>
              <w:rPr>
                <w:color w:val="2D2D2D"/>
                <w:sz w:val="18"/>
                <w:szCs w:val="18"/>
              </w:rPr>
              <w:br/>
              <w:t>крашения поверхности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Грибные поражения: грибные ядровые</w:t>
            </w:r>
            <w:r>
              <w:rPr>
                <w:color w:val="2D2D2D"/>
                <w:sz w:val="18"/>
                <w:szCs w:val="18"/>
              </w:rPr>
              <w:br/>
              <w:t>пятна и полосы, заболонные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грибные окраски, побурение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  <w:r>
              <w:rPr>
                <w:color w:val="2D2D2D"/>
                <w:sz w:val="18"/>
                <w:szCs w:val="18"/>
              </w:rPr>
              <w:br/>
              <w:t>при условии</w:t>
            </w:r>
            <w:r>
              <w:rPr>
                <w:color w:val="2D2D2D"/>
                <w:sz w:val="18"/>
                <w:szCs w:val="18"/>
              </w:rPr>
              <w:br/>
              <w:t>крашения поверхности</w:t>
            </w:r>
          </w:p>
        </w:tc>
        <w:tc>
          <w:tcPr>
            <w:tcW w:w="79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Биологические повреждения:</w:t>
            </w:r>
            <w:r>
              <w:rPr>
                <w:color w:val="2D2D2D"/>
                <w:sz w:val="18"/>
                <w:szCs w:val="18"/>
              </w:rPr>
              <w:br/>
              <w:t>червоточина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Допускается поверхностная</w:t>
            </w:r>
            <w:r>
              <w:rPr>
                <w:color w:val="2D2D2D"/>
                <w:sz w:val="18"/>
                <w:szCs w:val="18"/>
              </w:rPr>
              <w:br/>
              <w:t>диаметром не более 3 мм в количестве</w:t>
            </w:r>
            <w:r>
              <w:rPr>
                <w:color w:val="2D2D2D"/>
                <w:sz w:val="18"/>
                <w:szCs w:val="18"/>
              </w:rPr>
              <w:br/>
              <w:t>1 шт. на деталь</w:t>
            </w:r>
            <w:r>
              <w:rPr>
                <w:color w:val="2D2D2D"/>
                <w:sz w:val="18"/>
                <w:szCs w:val="18"/>
              </w:rPr>
              <w:br/>
              <w:t>при условии заделки пробками или</w:t>
            </w:r>
            <w:r>
              <w:rPr>
                <w:color w:val="2D2D2D"/>
                <w:sz w:val="18"/>
                <w:szCs w:val="18"/>
              </w:rPr>
              <w:br/>
              <w:t>шпатлевкой</w:t>
            </w:r>
            <w:proofErr w:type="gramEnd"/>
          </w:p>
        </w:tc>
        <w:tc>
          <w:tcPr>
            <w:tcW w:w="221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Допускается </w:t>
            </w:r>
            <w:proofErr w:type="gramStart"/>
            <w:r>
              <w:rPr>
                <w:color w:val="2D2D2D"/>
                <w:sz w:val="18"/>
                <w:szCs w:val="18"/>
              </w:rPr>
              <w:t>поверхностная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числе учитываемых</w:t>
            </w:r>
            <w:r>
              <w:rPr>
                <w:color w:val="2D2D2D"/>
                <w:sz w:val="18"/>
                <w:szCs w:val="18"/>
              </w:rPr>
              <w:br/>
              <w:t>несросшихся сучков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Допускается поверхностная</w:t>
            </w:r>
            <w:r>
              <w:rPr>
                <w:color w:val="2D2D2D"/>
                <w:sz w:val="18"/>
                <w:szCs w:val="18"/>
              </w:rPr>
              <w:br/>
              <w:t>диаметром не более 3 мм 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количестве 1 шт. на</w:t>
            </w:r>
            <w:r>
              <w:rPr>
                <w:color w:val="2D2D2D"/>
                <w:sz w:val="18"/>
                <w:szCs w:val="18"/>
              </w:rPr>
              <w:br/>
              <w:t>деталь</w:t>
            </w:r>
            <w:proofErr w:type="gramEnd"/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условии заделки пробками или шпатлевкой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Механические повреждения: риски, царапины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79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0D1B0E" w:rsidTr="000D1B0E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Пороки древесины, не указанные в табл.6, не допускаются.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2. Размер сучков определяют по расстоянию между касательными к контуру сучка, проведенными параллельно продольной оси детали.</w:t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3 (информационное). Виды поверхностей мебели для сидения и лежания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(информационное)</w:t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Рис.</w:t>
      </w:r>
    </w:p>
    <w:p w:rsidR="000D1B0E" w:rsidRDefault="000D1B0E" w:rsidP="000D1B0E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250440"/>
            <wp:effectExtent l="19050" t="0" r="0" b="0"/>
            <wp:docPr id="3" name="Рисунок 3" descr="ГОСТ 19917-93 Мебель для сидения и лежания. Общие технические условия (с Изменениями N 1, 2, 3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917-93 Мебель для сидения и лежания. Общие технические условия (с Изменениями N 1, 2, 3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6"/>
        <w:gridCol w:w="8591"/>
      </w:tblGrid>
      <w:tr w:rsidR="000D1B0E" w:rsidTr="000D1B0E">
        <w:trPr>
          <w:trHeight w:val="15"/>
        </w:trPr>
        <w:tc>
          <w:tcPr>
            <w:tcW w:w="1848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поверхности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</w:t>
            </w:r>
          </w:p>
        </w:tc>
      </w:tr>
      <w:tr w:rsidR="000D1B0E" w:rsidTr="000D1B0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</w:t>
            </w:r>
            <w:proofErr w:type="gramStart"/>
            <w:r>
              <w:rPr>
                <w:color w:val="2D2D2D"/>
                <w:sz w:val="18"/>
                <w:szCs w:val="18"/>
              </w:rPr>
              <w:t>Видимая</w:t>
            </w:r>
            <w:proofErr w:type="gramEnd"/>
          </w:p>
        </w:tc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Наружные и внутренние поверхности, видимые при нормальной эксплуатации, например: поверхности закрытых емкостей для постельных принадлежностей, на которые укладываются съемные мягкие элементы (кроме матрацев) и др.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 Лицевая</w:t>
            </w:r>
          </w:p>
        </w:tc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Наружные поверхности изделий мебели, видимые при нормальной эксплуатации, например: поверхности спинок кроватей и кушеток, боковин диванов, </w:t>
            </w:r>
            <w:proofErr w:type="gramStart"/>
            <w:r>
              <w:rPr>
                <w:color w:val="2D2D2D"/>
                <w:sz w:val="18"/>
                <w:szCs w:val="18"/>
              </w:rPr>
              <w:t>диванов-кроватей</w:t>
            </w:r>
            <w:proofErr w:type="gramEnd"/>
            <w:r>
              <w:rPr>
                <w:color w:val="2D2D2D"/>
                <w:sz w:val="18"/>
                <w:szCs w:val="18"/>
              </w:rPr>
              <w:t>, кресел, кресел-кроватей; ножки и проножки; наружные поверхности царг; поверхности мягких элементов и др.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 </w:t>
            </w:r>
            <w:proofErr w:type="gramStart"/>
            <w:r>
              <w:rPr>
                <w:color w:val="2D2D2D"/>
                <w:sz w:val="18"/>
                <w:szCs w:val="18"/>
              </w:rPr>
              <w:t>Внутренняя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видимая</w:t>
            </w:r>
          </w:p>
        </w:tc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Внутренние поверхности мебели, видимые при эксплуатации, например: поверхности матрацев кроватей, в том числе двусторонних; поверхности, на которые укладываются съемные мягкие элементы, внутренние поверхности отделений для хранения постельных принадлежностей, выдвижные рамы тахты, наружные поверхности боковых стенок выдвижных ящиков и др.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Невидимая</w:t>
            </w:r>
          </w:p>
        </w:tc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Наружные и внутренние поверхности, невидимые при эксплуатации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 Наружная невидимая</w:t>
            </w:r>
          </w:p>
        </w:tc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Наружные поверхности мебели, невидимые при эксплуатации, например: наружные поверхности задних стенок, обращенные к стене; обратные стороны сидений и др.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D1B0E" w:rsidTr="000D1B0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 Внутренняя невидимая</w:t>
            </w:r>
          </w:p>
        </w:tc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Внутренние поверхности мебели, невидимые при эксплуатации, например: наружные поверхности задних стенок выдвижных ящиков; внутренние поверхности за выдвижными ящиками; поверхности сопрягаемых соединений боковин с подлокотниками, накладками и др.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4 (информационное). Виды оснований мебели для сидения и лежания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(информационное)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ЖЕСТКОЕ ОСНОВАНИЕ - рамы, щиты, гнутоклееные элементы, коробки со средниками или заглушины из фанеры, твердых древесноволокнистых плит, листовой фибры или пластмассы.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ГИБКОЕ ОСНОВАНИЕ - рамы и коробки с проволочной сеткой, полотнищами или лентами из ткани, резинотканевыми лентами и жгутами из пластмасс, гнутоклееными пластинами.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ЭЛАСТИЧНОЕ ОСНОВАНИЕ - рамы и коробки с пружинами растяжения, резиновыми лентами.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КОМБИНИРОВАННОЕ ОСНОВАНИЕ - сочетание гибкого основания с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эластичным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D1B0E" w:rsidRDefault="000D1B0E" w:rsidP="000D1B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Доступ к международным и зарубежным документам, упомянутым в разделе "Библиография", можно получить, перейдя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0"/>
        <w:gridCol w:w="7427"/>
      </w:tblGrid>
      <w:tr w:rsidR="000D1B0E" w:rsidTr="000D1B0E">
        <w:trPr>
          <w:trHeight w:val="15"/>
        </w:trPr>
        <w:tc>
          <w:tcPr>
            <w:tcW w:w="3142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0D1B0E" w:rsidRDefault="000D1B0E">
            <w:pPr>
              <w:rPr>
                <w:sz w:val="2"/>
                <w:szCs w:val="24"/>
              </w:rPr>
            </w:pPr>
          </w:p>
        </w:tc>
      </w:tr>
      <w:tr w:rsidR="000D1B0E" w:rsidTr="000D1B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 ИСО 7174-1:1998*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Мебель. Стулья и табуреты. Определение устойчивости. Часть 1</w:t>
            </w:r>
          </w:p>
        </w:tc>
      </w:tr>
      <w:tr w:rsidR="000D1B0E" w:rsidTr="000D1B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 ИСО 7173:1989*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Мебель. Стулья и табуреты. Определение прочности и долговечности</w:t>
            </w:r>
          </w:p>
        </w:tc>
      </w:tr>
      <w:tr w:rsidR="000D1B0E" w:rsidTr="000D1B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 EH 1725:1998*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Мебель бытовая. Кровати, матрацы. Требования безопасности</w:t>
            </w:r>
          </w:p>
        </w:tc>
      </w:tr>
      <w:tr w:rsidR="000D1B0E" w:rsidTr="000D1B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 ИСО 7175-1(2):1997*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Мебель. Детские кроватки. Часть 1. Требования безопасности. Часть 2. Методы испытаний</w:t>
            </w:r>
          </w:p>
        </w:tc>
      </w:tr>
      <w:tr w:rsidR="000D1B0E" w:rsidTr="000D1B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[5] EH 13759-2001*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D1B0E" w:rsidRDefault="000D1B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Мебель бытовая для сидения и лежания. Определение долговечности механизма трансформации диванов (тахты, софы)</w:t>
            </w:r>
          </w:p>
        </w:tc>
      </w:tr>
    </w:tbl>
    <w:p w:rsidR="000D1B0E" w:rsidRDefault="000D1B0E" w:rsidP="000D1B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Оригиналы международных стандартов находятся во ФГУП "СТАНДАРТ-ИНФОРМ" Федерального агентства по техническому регулированию и метрологии.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Библиография.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(Введена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</w:t>
      </w:r>
      <w:proofErr w:type="gramEnd"/>
      <w:r w:rsidRPr="00230725">
        <w:rPr>
          <w:rFonts w:ascii="Arial" w:hAnsi="Arial" w:cs="Arial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30725">
        <w:rPr>
          <w:rFonts w:ascii="Arial" w:hAnsi="Arial" w:cs="Arial"/>
          <w:spacing w:val="2"/>
          <w:sz w:val="18"/>
          <w:szCs w:val="18"/>
        </w:rPr>
        <w:t>Изм.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1B5013" w:rsidRPr="009649C2" w:rsidRDefault="001B5013" w:rsidP="009649C2"/>
    <w:sectPr w:rsidR="001B5013" w:rsidRPr="009649C2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10" w:rsidRDefault="00927510" w:rsidP="004F577B">
      <w:pPr>
        <w:spacing w:after="0" w:line="240" w:lineRule="auto"/>
      </w:pPr>
      <w:r>
        <w:separator/>
      </w:r>
    </w:p>
  </w:endnote>
  <w:endnote w:type="continuationSeparator" w:id="0">
    <w:p w:rsidR="00927510" w:rsidRDefault="00927510" w:rsidP="004F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7B" w:rsidRDefault="004F577B" w:rsidP="004F577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F577B" w:rsidRDefault="004F57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10" w:rsidRDefault="00927510" w:rsidP="004F577B">
      <w:pPr>
        <w:spacing w:after="0" w:line="240" w:lineRule="auto"/>
      </w:pPr>
      <w:r>
        <w:separator/>
      </w:r>
    </w:p>
  </w:footnote>
  <w:footnote w:type="continuationSeparator" w:id="0">
    <w:p w:rsidR="00927510" w:rsidRDefault="00927510" w:rsidP="004F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1B0E"/>
    <w:rsid w:val="00180CA3"/>
    <w:rsid w:val="001977C1"/>
    <w:rsid w:val="001B5013"/>
    <w:rsid w:val="00230725"/>
    <w:rsid w:val="00292A5F"/>
    <w:rsid w:val="002B0C5E"/>
    <w:rsid w:val="002F0DC4"/>
    <w:rsid w:val="003412BC"/>
    <w:rsid w:val="00417361"/>
    <w:rsid w:val="00423B06"/>
    <w:rsid w:val="00463F6D"/>
    <w:rsid w:val="004F577B"/>
    <w:rsid w:val="00593B2B"/>
    <w:rsid w:val="006377D1"/>
    <w:rsid w:val="006B72AD"/>
    <w:rsid w:val="006E34A7"/>
    <w:rsid w:val="00793F5F"/>
    <w:rsid w:val="00865359"/>
    <w:rsid w:val="00927510"/>
    <w:rsid w:val="009649C2"/>
    <w:rsid w:val="009703F2"/>
    <w:rsid w:val="00A57EB4"/>
    <w:rsid w:val="00B45CAD"/>
    <w:rsid w:val="00BD5B9F"/>
    <w:rsid w:val="00C22520"/>
    <w:rsid w:val="00C23C38"/>
    <w:rsid w:val="00C51230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F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577B"/>
  </w:style>
  <w:style w:type="paragraph" w:styleId="ae">
    <w:name w:val="footer"/>
    <w:basedOn w:val="a"/>
    <w:link w:val="af"/>
    <w:uiPriority w:val="99"/>
    <w:semiHidden/>
    <w:unhideWhenUsed/>
    <w:rsid w:val="004F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6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5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71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picture/get?id=P011A&amp;doc_id=12000076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2017-06-14T13:59:00Z</dcterms:created>
  <dcterms:modified xsi:type="dcterms:W3CDTF">2017-08-15T11:15:00Z</dcterms:modified>
</cp:coreProperties>
</file>