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DA" w:rsidRDefault="005968DA" w:rsidP="005968D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31821-2012 (UNECE STANDARD FFV-05:2000) Баклажаны свежие, реализуемые в розничной торговле. Технические условия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31821-2012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(UNECE STANDARD FFV-05:2000)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С42</w:t>
      </w:r>
    </w:p>
    <w:p w:rsidR="005968DA" w:rsidRDefault="005968DA" w:rsidP="005968D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5968DA" w:rsidRDefault="005968DA" w:rsidP="005968D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БАКЛАЖАНЫ СВЕЖИЕ, РЕАЛИЗУЕМЫЕ В РОЗНИЧНОЙ ТОРГОВЛЕ</w:t>
      </w:r>
    </w:p>
    <w:p w:rsidR="005968DA" w:rsidRPr="005968DA" w:rsidRDefault="005968DA" w:rsidP="005968D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5968D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5968DA" w:rsidRDefault="005968DA" w:rsidP="005968D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 w:rsidRPr="005968D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Fresh </w:t>
      </w:r>
      <w:proofErr w:type="spellStart"/>
      <w:r w:rsidRPr="005968DA">
        <w:rPr>
          <w:rFonts w:ascii="Arial" w:hAnsi="Arial" w:cs="Arial"/>
          <w:color w:val="3C3C3C"/>
          <w:spacing w:val="1"/>
          <w:sz w:val="22"/>
          <w:szCs w:val="22"/>
          <w:lang w:val="en-US"/>
        </w:rPr>
        <w:t>aubergines</w:t>
      </w:r>
      <w:proofErr w:type="spellEnd"/>
      <w:r w:rsidRPr="005968D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for retail.</w:t>
      </w:r>
      <w:proofErr w:type="gramEnd"/>
      <w:r w:rsidRPr="005968D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67.080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2014-01-01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ПОДГОТОВЛЕН Автономной некоммерческой организацией "Научно-исследовательский центр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Кубаньагростандарт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(АНО "НИЦ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Кубаньагростандарт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15 ноября 2012 г. N 42)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9"/>
        <w:gridCol w:w="2527"/>
        <w:gridCol w:w="4563"/>
      </w:tblGrid>
      <w:tr w:rsidR="005968DA" w:rsidTr="005968DA">
        <w:trPr>
          <w:trHeight w:val="15"/>
        </w:trPr>
        <w:tc>
          <w:tcPr>
            <w:tcW w:w="3696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</w:tr>
      <w:tr w:rsidR="005968DA" w:rsidTr="005968D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5968DA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2D2D2D"/>
                <w:sz w:val="15"/>
                <w:szCs w:val="15"/>
              </w:rPr>
              <w:br/>
            </w:r>
            <w:r w:rsidRPr="005968DA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5968DA" w:rsidTr="005968D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5968DA" w:rsidTr="005968D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5968DA" w:rsidTr="005968D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5968DA" w:rsidTr="005968D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5968DA" w:rsidTr="005968D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5968DA" w:rsidTr="005968D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5968DA" w:rsidTr="005968DA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 Настоящий стандарт модифицирован по отношению к европейскому региональному стандарту UNECE STANDARD FFV-05:2000,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Concerning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the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marketing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commercial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quality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control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of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aubergines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moving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in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international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trade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between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UNECE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member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countries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", касающемуся сбыта и контроля товарного качества баклажан), разработанному Европейской экономической комиссией Организации Объединенных Наций (ЕЭК ООН), путем внесения выделенных курсивом* изменений по отношению к UNECE STANDARD FFV-05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:2000 в содержание разделов 2 и 3, отдельных структурных элементов и слов в разделах 3-6.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 бумажном оригинале обозначения и номера стандартов и нормативных документов в разделе "Предисловие" и приложениях ДА, ДБ приводятся обычным шрифтом, остальные по тексту документа выделены курсивом.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настоящего стандарта изменено относительно наименования указанного европейского регионального стандарта для приведения в соответствие с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1.5</w:t>
      </w:r>
      <w:r>
        <w:rPr>
          <w:rFonts w:ascii="Arial" w:hAnsi="Arial" w:cs="Arial"/>
          <w:color w:val="2D2D2D"/>
          <w:spacing w:val="1"/>
          <w:sz w:val="15"/>
          <w:szCs w:val="15"/>
        </w:rPr>
        <w:t> (подразделы 3.5, 3.6).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Официальные экземпляры международного документа, на основе которого подготовлен настоящий межгосударственный стандарт, и международных стандартов, на которые даны ссылки, имеются в Федеральном агентстве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Росстандарте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Сведения о соответствии ссылочных межгосударственных стандартов международным стандартам приведены в справочном приложении 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Сравнение структуры европейского регионального стандарта со структурой межгосударственного стандарта приведено в дополнительном приложении ДБ.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Степень соответствия - модифицированная (MOD).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Настоящий стандарт подготовлен на основе применения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968D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968DA">
        <w:rPr>
          <w:rFonts w:ascii="Arial" w:hAnsi="Arial" w:cs="Arial"/>
          <w:color w:val="2D2D2D"/>
          <w:spacing w:val="1"/>
          <w:sz w:val="15"/>
          <w:szCs w:val="15"/>
        </w:rPr>
        <w:t xml:space="preserve"> 53071-2008</w:t>
      </w:r>
      <w:r>
        <w:rPr>
          <w:rFonts w:ascii="Arial" w:hAnsi="Arial" w:cs="Arial"/>
          <w:color w:val="2D2D2D"/>
          <w:spacing w:val="1"/>
          <w:sz w:val="15"/>
          <w:szCs w:val="15"/>
        </w:rPr>
        <w:t> (ЕЭК ООН FFV-05:2000)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29 ноября 2012 г. N 1781-ст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31821-2012 (UNECE STANDARD FFV-05:2000) введен в действие в качестве национального стандарта Российской Федерации с 1 января 2014 года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." 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применения*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1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плоды баклажанов культурных сортов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Solanum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melongena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L., поставляемые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 реализации в свежем виде в розничную торговлю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потребителю и не предназначенные для переработки.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Цель стандарта - определение требований к качеству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 безопасности свежих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баклажанов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после подготовки и упаковки перед реализацией потребителю.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Требования, обеспечивающие безопасность баклажанов для здоровья человека, изложены в 5.3, к качеству - в 5.2, 5.4, к маркировке - в 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2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8.579-2002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166-89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(ИСО 3599-76) Штангенциркули.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427-75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ГОСТ 2226-80* Мешки бумажные. Технические условия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действует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2226-2013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427-75*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Текст документа соответствует оригиналу. Повтор, см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ыше.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ГОСТ 2226-80* Мешки бумажные.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Текст документа соответствует оригиналу. Повтор, см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ыше.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7502-89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9142-90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Ящики из гофрированного картона.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9396-88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Ящики деревянные многооборотные.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10131-93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Пленка полиэтиленовая.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ГОСТ 1135-93* 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Вероятно, ошибка оригинала. Следует читать: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11354-93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12301-2006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Коробки из картона,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12302-83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Пакеты из полимерных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13511-2006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Ящики из гофрированного картона для пищевых продуктов, спичек, табака и моющих средств.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13907-86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Баклажаны свежие.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17812-72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Ящики дощатые многооборотные для овощей и фруктов.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17527-2003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Упаковка.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21133-87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Поддоны ящичные специализированные для картофеля, овощей, фруктов.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21650-76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Средства скрепления тарно-штучных грузов в транспортных пакетах.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21650-76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Средства скрепления тарно-штучных грузов в транспортных пакетах.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24831-81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Тара-оборудование. Типы,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26663-85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Пакеты транспортные. Формирование с применением средств пакетирования.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ГОСТ 26927-94* Сырье и продукты пищевые. Методы определения ртути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действует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27520-87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(ИСО 1956-2-82) Фрукты и овощи. Морфологическая и структуральная терминология. Часть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27523-87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(ИСО 1991-1-82) Овощи. Номенклатура. Первый список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27735-94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Весы бытовые.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29329-92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Весы для статического взвешивания.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30090-93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Мешки и мешочные ткани.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30178-96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30349-96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ств хл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Продукты пищевые. Методы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30710-2001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ГОСТ 31262-2004* Продукты пищевые и продовольственное сырье.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Инверсионно-вольтамперметрические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968DA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968DA">
        <w:rPr>
          <w:rFonts w:ascii="Arial" w:hAnsi="Arial" w:cs="Arial"/>
          <w:color w:val="2D2D2D"/>
          <w:spacing w:val="1"/>
          <w:sz w:val="15"/>
          <w:szCs w:val="15"/>
        </w:rPr>
        <w:t xml:space="preserve"> 51301-99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 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3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 настоящем стандарте применены термины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27520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27523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излишняя внешняя влажность:</w:t>
      </w:r>
      <w:r>
        <w:rPr>
          <w:rFonts w:ascii="Arial" w:hAnsi="Arial" w:cs="Arial"/>
          <w:color w:val="2D2D2D"/>
          <w:spacing w:val="1"/>
          <w:sz w:val="15"/>
          <w:szCs w:val="15"/>
        </w:rPr>
        <w:t> Влага на плодах от промывки, дождя.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Конденсат на плодах, вызванный разницей температур, не считают излишней внешней влажностью.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миниатюрная продукция: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Разновидность овощной культуры, полученная методом селекции растений и/или с помощью специальной техники выращивания, за исключением образцов продукции неминиатюрных сортов, не достигших полного развития или имеющих неадекватный размер.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Классификация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4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4.1 Баклажаны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 зависимости от формы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подразделяют: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 продолговатые баклажаны (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грушевидные, удлиненно-грушевидные, цилиндрические, змеевидные, серповидные</w:t>
      </w:r>
      <w:r>
        <w:rPr>
          <w:rFonts w:ascii="Arial" w:hAnsi="Arial" w:cs="Arial"/>
          <w:color w:val="2D2D2D"/>
          <w:spacing w:val="1"/>
          <w:sz w:val="15"/>
          <w:szCs w:val="15"/>
        </w:rPr>
        <w:t>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другой формы (шаровидные, яйцевидные, укорочено-грушевидные).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Баклажаны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 зависимости от качества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подразделяют на два сорта: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первый и второй.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Технические требования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5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5.1 Свежие баклажаны должны соответствовать требованиям настоящего стандарта и быть подготовлены и расфасованы в потребительскую тару по технологической инструкции с соблюдением требований, установленных нормативными правовыми актами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3" type="#_x0000_t75" alt="ГОСТ 31821-2012 (UNECE STANDARD FFV-05:2000) Баклажаны свежие, реализуемые в розничной торговле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4" type="#_x0000_t75" alt="ГОСТ 31821-2012 (UNECE STANDARD FFV-05:2000) Баклажаны свежие, реализуемые в розничной торговле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 государств - участников Таможенного союза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[3]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5.2 Качество баклажанов должно соответствовать требованиям и нормам,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4"/>
        <w:gridCol w:w="3616"/>
        <w:gridCol w:w="3779"/>
      </w:tblGrid>
      <w:tr w:rsidR="005968DA" w:rsidTr="005968DA">
        <w:trPr>
          <w:trHeight w:val="15"/>
        </w:trPr>
        <w:tc>
          <w:tcPr>
            <w:tcW w:w="3326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Характеристика и норма для товарного сорта</w:t>
            </w:r>
          </w:p>
        </w:tc>
      </w:tr>
      <w:tr w:rsidR="005968DA" w:rsidTr="005968DA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первого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второго</w:t>
            </w: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Плоды</w:t>
            </w:r>
            <w:r>
              <w:rPr>
                <w:color w:val="2D2D2D"/>
                <w:sz w:val="15"/>
                <w:szCs w:val="15"/>
              </w:rPr>
              <w:t> свежие, целые, чистые, здоровые, </w:t>
            </w:r>
            <w:r>
              <w:rPr>
                <w:i/>
                <w:iCs/>
                <w:color w:val="2D2D2D"/>
                <w:sz w:val="15"/>
                <w:szCs w:val="15"/>
              </w:rPr>
              <w:t>не увядшие, технически спелые</w:t>
            </w:r>
            <w:r>
              <w:rPr>
                <w:color w:val="2D2D2D"/>
                <w:sz w:val="15"/>
                <w:szCs w:val="15"/>
              </w:rPr>
              <w:t>, с плодоножкой, без повреждений </w:t>
            </w:r>
            <w:r>
              <w:rPr>
                <w:i/>
                <w:iCs/>
                <w:color w:val="2D2D2D"/>
                <w:sz w:val="15"/>
                <w:szCs w:val="15"/>
              </w:rPr>
              <w:t>сельскохозяйственными вредителями и болезнями, без механических повреждений, без излишней внешней влажности, типичной для ботанического сорта формы и окраски</w:t>
            </w:r>
          </w:p>
        </w:tc>
      </w:tr>
      <w:tr w:rsidR="005968DA" w:rsidTr="005968DA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Допускаются плоды</w:t>
            </w:r>
            <w:r>
              <w:rPr>
                <w:color w:val="2D2D2D"/>
                <w:sz w:val="15"/>
                <w:szCs w:val="15"/>
              </w:rPr>
              <w:t> с незначительными дефектами формы, небольшим изменением цвета у основания, незначительными помятостями и/или зарубцевавшимися трещинами, общая площадь </w:t>
            </w:r>
            <w:r>
              <w:rPr>
                <w:i/>
                <w:iCs/>
                <w:color w:val="2D2D2D"/>
                <w:sz w:val="15"/>
                <w:szCs w:val="15"/>
              </w:rPr>
              <w:t>которых</w:t>
            </w:r>
            <w:r>
              <w:rPr>
                <w:color w:val="2D2D2D"/>
                <w:sz w:val="15"/>
                <w:szCs w:val="15"/>
              </w:rPr>
              <w:t> не превышает 3 см</w:t>
            </w:r>
            <w:r>
              <w:rPr>
                <w:color w:val="2D2D2D"/>
                <w:sz w:val="15"/>
                <w:szCs w:val="15"/>
              </w:rPr>
              <w:pict>
                <v:shape id="_x0000_i1265" type="#_x0000_t75" alt="ГОСТ 31821-2012 (UNECE STANDARD FFV-05:2000) Баклажаны свежие, реализуемые в розничной торговле. Технические условия" style="width:8.05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Допускаются плоды</w:t>
            </w:r>
            <w:r>
              <w:rPr>
                <w:color w:val="2D2D2D"/>
                <w:sz w:val="15"/>
                <w:szCs w:val="15"/>
              </w:rPr>
              <w:t> с дефектами формы и окраски, с незначительными солнечными ожогами, общая площадь </w:t>
            </w:r>
            <w:r>
              <w:rPr>
                <w:i/>
                <w:iCs/>
                <w:color w:val="2D2D2D"/>
                <w:sz w:val="15"/>
                <w:szCs w:val="15"/>
              </w:rPr>
              <w:t>которых</w:t>
            </w:r>
            <w:r>
              <w:rPr>
                <w:color w:val="2D2D2D"/>
                <w:sz w:val="15"/>
                <w:szCs w:val="15"/>
              </w:rPr>
              <w:t> не превышает 4 см</w:t>
            </w:r>
            <w:r>
              <w:rPr>
                <w:color w:val="2D2D2D"/>
                <w:sz w:val="15"/>
                <w:szCs w:val="15"/>
              </w:rPr>
              <w:pict>
                <v:shape id="_x0000_i1266" type="#_x0000_t75" alt="ГОСТ 31821-2012 (UNECE STANDARD FFV-05:2000) Баклажаны свежие, реализуемые в розничной торговле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с незначительными зарубцевавшимися трещинами, общая площадь </w:t>
            </w:r>
            <w:r>
              <w:rPr>
                <w:i/>
                <w:iCs/>
                <w:color w:val="2D2D2D"/>
                <w:sz w:val="15"/>
                <w:szCs w:val="15"/>
              </w:rPr>
              <w:t>которых</w:t>
            </w:r>
            <w:r>
              <w:rPr>
                <w:color w:val="2D2D2D"/>
                <w:sz w:val="15"/>
                <w:szCs w:val="15"/>
              </w:rPr>
              <w:t> не превышает 4 см</w:t>
            </w:r>
            <w:r>
              <w:rPr>
                <w:color w:val="2D2D2D"/>
                <w:sz w:val="15"/>
                <w:szCs w:val="15"/>
              </w:rPr>
              <w:pict>
                <v:shape id="_x0000_i1267" type="#_x0000_t75" alt="ГОСТ 31821-2012 (UNECE STANDARD FFV-05:2000) Баклажаны свежие, реализуемые в розничной торговле. Технические условия" style="width:8.05pt;height:17.2pt"/>
              </w:pict>
            </w: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Запах и вкус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Свойственные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 xml:space="preserve"> данному ботаническому сорту</w:t>
            </w:r>
            <w:r>
              <w:rPr>
                <w:color w:val="2D2D2D"/>
                <w:sz w:val="15"/>
                <w:szCs w:val="15"/>
              </w:rPr>
              <w:t> без постороннего запаха и/или привкуса</w:t>
            </w: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Внутреннее строение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Мякоть сочная, упругая, без пустот, не волокнистая и не деревянистая, без избыточного образования семян, семенное гнездо с недоразвитыми белыми не кожистыми семенами</w:t>
            </w: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Размер плодов: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rPr>
                <w:sz w:val="24"/>
                <w:szCs w:val="24"/>
              </w:rPr>
            </w:pPr>
          </w:p>
        </w:tc>
      </w:tr>
      <w:tr w:rsidR="005968DA" w:rsidTr="005968D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по наибольшему поперечному диаметру, 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rPr>
                <w:sz w:val="24"/>
                <w:szCs w:val="24"/>
              </w:rPr>
            </w:pPr>
          </w:p>
        </w:tc>
      </w:tr>
      <w:tr w:rsidR="005968DA" w:rsidTr="005968D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4,0 для плодов продолговатой формы</w:t>
            </w:r>
          </w:p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4,0 для плодов продолговатой формы</w:t>
            </w:r>
          </w:p>
        </w:tc>
      </w:tr>
      <w:tr w:rsidR="005968DA" w:rsidTr="005968D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7,0 для плодов другой формы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7,0 для плодов другой формы</w:t>
            </w:r>
          </w:p>
        </w:tc>
      </w:tr>
      <w:tr w:rsidR="005968DA" w:rsidTr="005968D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10,0 для плодов продолговатой формы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5968DA" w:rsidTr="005968DA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12,0 для плодов другой формы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rPr>
                <w:sz w:val="24"/>
                <w:szCs w:val="24"/>
              </w:rPr>
            </w:pP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по длине без плодоножки, 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>,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rPr>
                <w:sz w:val="24"/>
                <w:szCs w:val="24"/>
              </w:rPr>
            </w:pPr>
          </w:p>
        </w:tc>
      </w:tr>
      <w:tr w:rsidR="005968DA" w:rsidTr="005968D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менее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 для плодов </w:t>
            </w:r>
            <w:r>
              <w:rPr>
                <w:i/>
                <w:iCs/>
                <w:color w:val="2D2D2D"/>
                <w:sz w:val="15"/>
                <w:szCs w:val="15"/>
              </w:rPr>
              <w:t>продолговатой формы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 для плодов </w:t>
            </w:r>
            <w:r>
              <w:rPr>
                <w:i/>
                <w:iCs/>
                <w:color w:val="2D2D2D"/>
                <w:sz w:val="15"/>
                <w:szCs w:val="15"/>
              </w:rPr>
              <w:t>продолговатой формы</w:t>
            </w:r>
          </w:p>
        </w:tc>
      </w:tr>
      <w:tr w:rsidR="005968DA" w:rsidTr="005968DA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Масса плодов, 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>,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rPr>
                <w:sz w:val="24"/>
                <w:szCs w:val="24"/>
              </w:rPr>
            </w:pPr>
          </w:p>
        </w:tc>
      </w:tr>
      <w:tr w:rsidR="005968DA" w:rsidTr="005968D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100</w:t>
            </w:r>
          </w:p>
        </w:tc>
      </w:tr>
      <w:tr w:rsidR="005968DA" w:rsidTr="005968DA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650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Массовая доля плодов с отклонениями от установленных по наибольшему поперечному диаметру размеров не более чем на 0,5 см (или по массе более чем на 10%), % от массы, не более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5,0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10,0</w:t>
            </w: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Массовая доля плодов потертых, со свежими царапинами, с дефектами формы, с легким увяданием кожицы, со следами от нажимов без повреждения мякоти, %, не более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5,0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10,0</w:t>
            </w: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Массовая доля плодов с помятостями и/или зарубцевавшимися трещинами общей площадью более 3 см</w:t>
            </w:r>
            <w:r>
              <w:rPr>
                <w:i/>
                <w:iCs/>
                <w:color w:val="2D2D2D"/>
                <w:sz w:val="15"/>
                <w:szCs w:val="15"/>
              </w:rPr>
              <w:pict>
                <v:shape id="_x0000_i1268" type="#_x0000_t75" alt="ГОСТ 31821-2012 (UNECE STANDARD FFV-05:2000) Баклажаны свежие, реализуемые в розничной торговле. Технические условия" style="width:8.05pt;height:17.2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10,0</w:t>
            </w: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Плоды с солнечными ожогами общей площадью более 4 см</w:t>
            </w:r>
            <w:r>
              <w:rPr>
                <w:color w:val="2D2D2D"/>
                <w:sz w:val="15"/>
                <w:szCs w:val="15"/>
              </w:rPr>
              <w:pict>
                <v:shape id="_x0000_i1269" type="#_x0000_t75" alt="ГОСТ 31821-2012 (UNECE STANDARD FFV-05:2000) Баклажаны свежие, реализуемые в розничной торговле. Технические условия" style="width:8.05pt;height:17.2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>, и зарубцевавшимися трещинами общей площадью более 4 см</w:t>
            </w:r>
            <w:r>
              <w:rPr>
                <w:color w:val="2D2D2D"/>
                <w:sz w:val="15"/>
                <w:szCs w:val="15"/>
              </w:rPr>
              <w:pict>
                <v:shape id="_x0000_i1270" type="#_x0000_t75" alt="ГОСТ 31821-2012 (UNECE STANDARD FFV-05:2000) Баклажаны свежие, реализуемые в розничной торговле. Технические условия" style="width:8.05pt;height:17.2pt"/>
              </w:pic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допускаются</w:t>
            </w: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Плоды увядшие, заплесневевшие, загнившие, запаренные, с повреждением мякоти, без плодоножки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допускаются</w:t>
            </w:r>
          </w:p>
        </w:tc>
      </w:tr>
      <w:tr w:rsidR="005968DA" w:rsidTr="005968D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Плоды с пустотами, перезревшие с волокнистой мякотью, с излишней внешней влажностью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допускаются</w:t>
            </w:r>
          </w:p>
        </w:tc>
      </w:tr>
    </w:tbl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5.3 Наличие яиц гельминтов и цист кишечных патогенных простейших на свежих баклажанах не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5.4 Содержание в свежих баклажанах токсичных элементов,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микотоксинов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пестицидов, радионуклидов, микробиологические показатели не должны превышать норм, установленных нормативными правовыми актами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1" type="#_x0000_t75" alt="ГОСТ 31821-2012 (UNECE STANDARD FFV-05:2000) Баклажаны свежие, реализуемые в розничной торговле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2" type="#_x0000_t75" alt="ГОСТ 31821-2012 (UNECE STANDARD FFV-05:2000) Баклажаны свежие, реализуемые в розничной торговле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 государств - участников Таможенного союза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5.5 Калибровка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5.5.1 Калибровку баклажанов проводят по наибольшему поперечному диаметру или по массе.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5.5.2 Разница между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наименьшим и наибольшим поперечными диаметрами плодов</w:t>
      </w:r>
      <w:r>
        <w:rPr>
          <w:rFonts w:ascii="Arial" w:hAnsi="Arial" w:cs="Arial"/>
          <w:color w:val="2D2D2D"/>
          <w:spacing w:val="1"/>
          <w:sz w:val="15"/>
          <w:szCs w:val="15"/>
        </w:rPr>
        <w:t> в одной упаковочной единице не должна превышать: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 первого сорта баклажанов продолговатой формы 2,0 см, для баклажанов другой формы 2,5 см; для второго сорта не нормируется.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5.5.3 Калибровка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плодов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первого сорта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 массе допускается только среди баклажанов одной формы плода и производится в соответствии со следующей шкалой: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 массе одного плода</w:t>
      </w:r>
      <w:r>
        <w:rPr>
          <w:rFonts w:ascii="Arial" w:hAnsi="Arial" w:cs="Arial"/>
          <w:color w:val="2D2D2D"/>
          <w:spacing w:val="1"/>
          <w:sz w:val="15"/>
          <w:szCs w:val="15"/>
        </w:rPr>
        <w:t> от 100 до 300 г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включительно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максимальная разница между самыми мелкими и крупными баклажанами в одной и той же упаковке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должна быть не более</w:t>
      </w:r>
      <w:r>
        <w:rPr>
          <w:rFonts w:ascii="Arial" w:hAnsi="Arial" w:cs="Arial"/>
          <w:color w:val="2D2D2D"/>
          <w:spacing w:val="1"/>
          <w:sz w:val="15"/>
          <w:szCs w:val="15"/>
        </w:rPr>
        <w:t> 75 г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 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 массе одного плода</w:t>
      </w:r>
      <w:r>
        <w:rPr>
          <w:rFonts w:ascii="Arial" w:hAnsi="Arial" w:cs="Arial"/>
          <w:color w:val="2D2D2D"/>
          <w:spacing w:val="1"/>
          <w:sz w:val="15"/>
          <w:szCs w:val="15"/>
        </w:rPr>
        <w:t> от 300 до 500 г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включительно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максимальная разница между самыми мелкими и крупными баклажанами в одной и той же упаковке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должна быть не более</w:t>
      </w:r>
      <w:r>
        <w:rPr>
          <w:rFonts w:ascii="Arial" w:hAnsi="Arial" w:cs="Arial"/>
          <w:color w:val="2D2D2D"/>
          <w:spacing w:val="1"/>
          <w:sz w:val="15"/>
          <w:szCs w:val="15"/>
        </w:rPr>
        <w:t>100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 массе одного плода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свыше 500 г максимальная разница между самыми мелкими и крупными баклажанами в одной и той же упаковке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должна быть не более</w:t>
      </w:r>
      <w:r>
        <w:rPr>
          <w:rFonts w:ascii="Arial" w:hAnsi="Arial" w:cs="Arial"/>
          <w:color w:val="2D2D2D"/>
          <w:spacing w:val="1"/>
          <w:sz w:val="15"/>
          <w:szCs w:val="15"/>
        </w:rPr>
        <w:t> 150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5.5.4 Плоды баклажанов второго сорта по массе не калибруются.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5.5.5 Размеры (или массу) плодов, выраженные максимальным и минимальным значениями, в упаковочной единице в партиях калиброванных баклажанов первого сорта устанавливает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Упаковка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3" type="#_x0000_t75" alt="ГОСТ 31821-2012 (UNECE STANDARD FFV-05:2000) Баклажаны свежие, реализуемые в розничной торговле. Технические условия" style="width:9.65pt;height:17.2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Для государств - участников Таможенного союза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6.1</w:t>
      </w:r>
      <w:r>
        <w:rPr>
          <w:rFonts w:ascii="Arial" w:hAnsi="Arial" w:cs="Arial"/>
          <w:color w:val="2D2D2D"/>
          <w:spacing w:val="1"/>
          <w:sz w:val="15"/>
          <w:szCs w:val="15"/>
        </w:rPr>
        <w:t> Свежие баклажаны должны быть упакованы таким образом, чтобы обеспечивалась их надлежащая сохранность 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безопасность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 согласованию с потребителем допускается не расфасовывать свежие баклажаны в потребительскую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6.2 Тара, применяемая для упаковки баклажанов, должна быть чистой, сухой, не зараженной сельскохозяйственными вредителями и не иметь постороннего запаха.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6.3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Материалы, используемые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</w:t>
      </w:r>
      <w:r>
        <w:rPr>
          <w:rFonts w:ascii="Arial" w:hAnsi="Arial" w:cs="Arial"/>
          <w:color w:val="2D2D2D"/>
          <w:spacing w:val="1"/>
          <w:sz w:val="15"/>
          <w:szCs w:val="15"/>
        </w:rPr>
        <w:t> упаковки, а также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чернила, краска</w:t>
      </w:r>
      <w:r>
        <w:rPr>
          <w:rFonts w:ascii="Arial" w:hAnsi="Arial" w:cs="Arial"/>
          <w:color w:val="2D2D2D"/>
          <w:spacing w:val="1"/>
          <w:sz w:val="15"/>
          <w:szCs w:val="15"/>
        </w:rPr>
        <w:t>, клей,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бумага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применяемые для нанесения текста или наклеивания этикеток, должны быть не токсичными 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обеспечивать при контакте с продуктами данного вида сохранение их качества и безопасности.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6.4 Этикетки, отдельно наклеиваемые непосредственно на каждый баклажан, должны быть такими, чтобы в случае их удаления не оставалось следов клея или повреждений на их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6.5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Содержимое каждой упаковки должно быть однородным и состоять из баклажанов одного и того же происхождения, товарного сорта, качества, откалиброванных по массе (в тех случаях, когда калибровка является обязательной) и одинаковой степени зрелости и окраски. Продолговатые баклажаны, упакованные в одну и ту же упаковку, должны быть приблизительно одинаковыми по длине.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6.6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Посторонние примеси в упаковке не допускаются.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6.7</w:t>
      </w:r>
      <w:r>
        <w:rPr>
          <w:rFonts w:ascii="Arial" w:hAnsi="Arial" w:cs="Arial"/>
          <w:color w:val="2D2D2D"/>
          <w:spacing w:val="1"/>
          <w:sz w:val="15"/>
          <w:szCs w:val="15"/>
        </w:rPr>
        <w:t> Видимая часть продукта в упаковке должна соответствовать содержимому всей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упаковочной единицы или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6.8 Баклажаны фасуют по 1,0-5,0 кг в потребительскую тару из полимерной пленки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пакеты из полимерных и комбинированных материалов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12302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ящики из гофрированного картона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13511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, лотки и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ящики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пластмассовые 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перфорированные и сплошные различной вместимости и конфигурации или тару из других материалов, обеспечивающих качество и безопасность баклажанов в течение их срока годности.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6.9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опускается фасовать баклажаны произвольной массой нетто.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6.10 Фасованные баклажаны упаковывают в ящики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9142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17812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поддоны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21133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тару-оборудование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24831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или другую тару, по </w:t>
      </w:r>
      <w:r>
        <w:rPr>
          <w:rFonts w:ascii="Arial" w:hAnsi="Arial" w:cs="Arial"/>
          <w:color w:val="2D2D2D"/>
          <w:spacing w:val="1"/>
          <w:sz w:val="15"/>
          <w:szCs w:val="15"/>
        </w:rPr>
        <w:t>нормативным документам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утвержденным нормативно-правовыми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6.11 Масса нетто продукта в упаковочной единице должна соответствовать номинальной, указанной в маркировке продукта в потребительской таре с учетом допустимых отклонений.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Отрицательное отклонение массы нетто от номинальной массы каждой упаковочной единицы должно соответствовать требованиям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8.579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6.12 Миниатюрные баклажаны должны быть приблизительно одинаковыми по размеру. Их можно смешивать с другими миниатюрными продуктами разных типов и происхождения.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Маркировка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7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7.1 Маркировка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7.1.1 Информацию о продукции наносят на потребительскую и транспортную тару на ярлыки и листы-вкладыши несмываемой,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нелипкой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непахнущей, нетоксичной краской, чернилами.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7.1.2 Текст информации наносят на русском языке.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7.1.3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Информация, наносимая на каждую единицу потребительской тары, должна содержать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4" type="#_x0000_t75" alt="ГОСТ 31821-2012 (UNECE STANDARD FFV-05:2000) Баклажаны свежие, реализуемые в розничной торговле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5" type="#_x0000_t75" alt="ГОСТ 31821-2012 (UNECE STANDARD FFV-05:2000) Баклажаны свежие, реализуемые в розничной торговле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 государств - участников Таможенного союза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[3]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наименование и местонахождение изготовителя [юридический адрес, включая страну, и, при несовпадении с юридическим адресом, адре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с(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а) производств(а)] и организации на территории государства, принявшего стандарт, уполномоченной изготовителем на принятие претензий от потребителей на ее территории (при наличии);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товарный знак изготовителя (при наличии);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ботанический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товарный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размер (при наличии калибровки), выраженный либо максимальным и минимальным диаметром при калибровке плодов по диаметру, либо максимальной и минимальной массой при калибровке плодов по массе;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дату сбора и дату упаковывания;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сведения о выращивании в защищенном грунте (для продукции, выращенной в защищенном грунте);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условия хранения;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обозначение настоящего документа;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- информацию о подтверждении соответствия.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7.1.4 Маркировка транспортной тары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 нанесением манипуляционного знака "Скоропортящийся груз".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Правила приемки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8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8.1 Свежие баклажаны принимают партиями. Под партией понимают любое количество свежих баклажанов одного ботанического сорта, упакованное в тару одного вида и типоразмера, поступившее в одном транспортном средстве и оформленное одним документом, удостоверяющим качество и безопасность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Документ, удостоверяющий качество и безопасность продукта, должен содержать следующую информацию: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номер документа и дату его выдачи;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наименование и адрес отправителя;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наименование и адрес получателя;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товарный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ботанический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количество упаковочных единиц;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даты сбора, упаковывания, отгрузки;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номер и вид транспортного средства;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информацию о подтверждении соответствия.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8.2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ля проверки качества свежих баклажанов, правильности упаковывания и маркирования, а также массы нетто упаковочной единицы на соответствие требованиям настоящего стандарта, от партии свежих баклажанов из разных мест отбирают выборку, объем которой указан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2"/>
        <w:gridCol w:w="5167"/>
      </w:tblGrid>
      <w:tr w:rsidR="005968DA" w:rsidTr="005968DA">
        <w:trPr>
          <w:trHeight w:val="15"/>
        </w:trPr>
        <w:tc>
          <w:tcPr>
            <w:tcW w:w="5729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</w:tr>
      <w:tr w:rsidR="005968DA" w:rsidTr="005968DA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Объем партии, количество упаковочных единиц, шт.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Объем выборки, количество отбираемых упаковочных единиц, шт.</w:t>
            </w:r>
          </w:p>
        </w:tc>
      </w:tr>
      <w:tr w:rsidR="005968DA" w:rsidTr="005968DA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До 500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15</w:t>
            </w:r>
          </w:p>
        </w:tc>
      </w:tr>
      <w:tr w:rsidR="005968DA" w:rsidTr="005968DA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Св. 500 до 1000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20</w:t>
            </w:r>
          </w:p>
        </w:tc>
      </w:tr>
      <w:tr w:rsidR="005968DA" w:rsidTr="005968DA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Св. 1000 до 5000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25</w:t>
            </w:r>
          </w:p>
        </w:tc>
      </w:tr>
      <w:tr w:rsidR="005968DA" w:rsidTr="005968DA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Св. 5000 до 10000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30</w:t>
            </w:r>
          </w:p>
        </w:tc>
      </w:tr>
      <w:tr w:rsidR="005968DA" w:rsidTr="005968DA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Св. 10000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30 и дополнительно на каждые 500 полных и неполных упаковочных единиц по одной упаковочной единице</w:t>
            </w:r>
          </w:p>
        </w:tc>
      </w:tr>
      <w:tr w:rsidR="005968DA" w:rsidTr="005968DA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Примечание - При объеме партии менее 15 упаковочных единиц в выборку отбирают все упаковочные единицы.</w:t>
            </w:r>
          </w:p>
        </w:tc>
      </w:tr>
    </w:tbl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8.3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ся продукция, содержащаяся в выборке, отобранной в соответствии с таблицей 2, составляет объединенную пробу.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8.4 Результаты проверки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8.5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осле проверки отобранные упаковочные единицы присоединяют к партии баклажанов.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 xml:space="preserve">8.6 Качество баклажанов в поврежденных упаковочных единицах проверяют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отдельно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и результаты распространяются только на баклажаны, находящиеся в этих упаковочных единицах.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8.7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ри приемке партии фасованных в потребительскую тару баклажанов соблюдают следующие требования качества: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каждой упаковке допускается содержание продукции, не отвечающей требованиям качества для данного сорта в пределах норм, установленных в отношении качества и размеров;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партии баклажанов первого сорта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допускается содержание 10% плодов, не соответствующих требованиям первого сорта, но отвечающих требованиям второго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партии баклажанов второго сорта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допускается содержание 10% плодов, не соответствующих требованиям второго сорта; при этом не допускается наличие продукта, подверженного гниению и порче.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случае калибровки баклажанов по размеру: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в партии баклажанов первого сорта допускается содержание 10% плодов, не соответствующих размерам (или массе), указанным на упаковке;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партии баклажанов второго сорта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допускается содержание 10% плодов, не соответствующих минимальным требованиям.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Такая норма не применима к баклажанам всех сортов, диаметр которых меньше минимального диаметра на 0,5 см или, в случае калибровки по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массе</w:t>
      </w:r>
      <w:r>
        <w:rPr>
          <w:rFonts w:ascii="Arial" w:hAnsi="Arial" w:cs="Arial"/>
          <w:color w:val="2D2D2D"/>
          <w:spacing w:val="1"/>
          <w:sz w:val="15"/>
          <w:szCs w:val="15"/>
        </w:rPr>
        <w:t>, к баклажанам,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масса</w:t>
      </w:r>
      <w:r>
        <w:rPr>
          <w:rFonts w:ascii="Arial" w:hAnsi="Arial" w:cs="Arial"/>
          <w:color w:val="2D2D2D"/>
          <w:spacing w:val="1"/>
          <w:sz w:val="15"/>
          <w:szCs w:val="15"/>
        </w:rPr>
        <w:t>которых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составляет менее 90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8.9 Контроль внешнего вида, органолептических и физических показателей качества, массы нетто, качества упаковки, маркировки проводят для каждой партии баклажанов.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8.10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содержанием токсичных элементов,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микотоксинов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радионуклидов, пестицидов, микробиологическими показателями проводят в соответствии с порядком, установленным изготовителем продукции согласно нормативным правовым актам государства, принявшего стандарт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6" type="#_x0000_t75" alt="ГОСТ 31821-2012 (UNECE STANDARD FFV-05:2000) Баклажаны свежие, реализуемые в розничной торговле. Технические условия" style="width:9.65pt;height:17.2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7" type="#_x0000_t75" alt="ГОСТ 31821-2012 (UNECE STANDARD FFV-05:2000) Баклажаны свежие, реализуемые в розничной торговле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 государств - участников Таможенного союза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9 Методы контроля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9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9.1 Качество упаковки и маркировки всех упаковочных единиц с плодами баклажанов, отобранных по 8.3, на соответствие требованиям настоящего стандарта оценивают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9.2 Порядок проведения контроля качества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9.2.1 Средства измерений: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весы бытовые для взвешивания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27735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весы для статического взвешивания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29329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среднего класса точности с наибольшим пределом взвешивания 25 кг, ценой поверочного 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8" type="#_x0000_t75" alt="ГОСТ 31821-2012 (UNECE STANDARD FFV-05:2000) Баклажаны свежие, реализуемые в розничной торговле. Технические условия" style="width:18.8pt;height:11.3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50 г и пределом допускаемой погрешности ±0,5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9" type="#_x0000_t75" alt="ГОСТ 31821-2012 (UNECE STANDARD FFV-05:2000) Баклажаны свежие, реализуемые в розничной торговле. Технические условия" style="width:9.15pt;height:11.3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весы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29329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среднего класса точности с наибольшим пределом взвешивания не более 3 кг и ценой поверочного 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0" type="#_x0000_t75" alt="ГОСТ 31821-2012 (UNECE STANDARD FFV-05:2000) Баклажаны свежие, реализуемые в розничной торговле. Технические условия" style="width:18.8pt;height:12.9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 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-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линейка металлическая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длиной 300 мм, ценой деления 1 мм с погрешностью измерений ±0,1 мм или рулетка металлическая из нержавеющей стали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7502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номинальной длины 1 м с прямоугольным торцом на выдвижном конце ленты, 2 класса точности;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штангенциркуль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166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1 или 2 класса точности с погрешностью измерений 0,05-0,1 мм.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Допускается применение других средств измерений, утвержденных в установленном порядке и внесенных в Государственный реестр средств измерений государства, принявшего стандарт, с метрологическими характеристиками не ниже указанных.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lastRenderedPageBreak/>
        <w:t xml:space="preserve">9.3 Определение массовой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доли фракций плодов свежих баклажанов товарных сортов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 xml:space="preserve"> по показателям качества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9.3.1 Проверке подлежат все баклажаны в отобранных по 8.3 упаковочных единицах, из которых составлена объединенная проба.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9.3.2 Баклажаны в объединенной пробе взвешивают и рассортировывают вручную по фракциям в соответствии с показателями, указанными в таблице 1: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плоды с отклонениями от установленных по наибольшему поперечному диаметру размеров (или массы);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плоды потертые, со свежими царапинами, с дефектами формы, с легким увяданием кожицы, со следами нажимов без повреждения мякоти;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-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плоды с помятостями и/или зарубцевавшимися трещинами общей площадью более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1" type="#_x0000_t75" alt="ГОСТ 31821-2012 (UNECE STANDARD FFV-05:2000) Баклажаны свежие, реализуемые в розничной торговле. Технические условия" style="width:8.05pt;height:17.2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плоды с солнечными ожогами общей площадью более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2" type="#_x0000_t75" alt="ГОСТ 31821-2012 (UNECE STANDARD FFV-05:2000) Баклажаны свежие, реализуемые в розничной торговле. Технические условия" style="width:8.05pt;height:17.2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плоды с зарубцевавшимися трещинами общей площадью более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3" type="#_x0000_t75" alt="ГОСТ 31821-2012 (UNECE STANDARD FFV-05:2000) Баклажаны свежие, реализуемые в розничной торговле. Технические условия" style="width:8.05pt;height:17.2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плоды увядшие, заплесневевшие, загнившие, запаренные, с поврежденной мякотью, с излишней внешней влажностью, без плодоножки;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плоды с пустотами, перезрелые, с волокнистой мякотью.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9.3.3 Внутреннее строение плодов определяют на разрезе 3% плодов от массы объединенной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9.3.4 Внешний вид,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запах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и вкус плодов оценивают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органолептически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9.3.5 Размеры плодов, площадь солнечных ожогов и зарубцевавшихся трещин измеряют линейкой и штангенциркулем.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9.3.6 Массу плодов определяют взвешиванием.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9.3.7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аждую фракцию плодов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4" type="#_x0000_t75" alt="ГОСТ 31821-2012 (UNECE STANDARD FFV-05:2000) Баклажаны свежие, реализуемые в розничной торговле. Технические условия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взвешивают отдельно. Значение массы фракций записывают с точностью до второго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9.3.8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 результатам взвешиваний определяют в процентах содержание плодов с отклонениями от значений показателей, установленных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9.4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Содержание массовой доли плодов с отклонениями по каждой фракции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5" type="#_x0000_t75" alt="ГОСТ 31821-2012 (UNECE STANDARD FFV-05:2000) Баклажаны свежие, реализуемые в розничной торговле. Технические условия" style="width:14.5pt;height:12.9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в процентах от общей массы плодов объединенной пробы,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64540" cy="409575"/>
            <wp:effectExtent l="19050" t="0" r="0" b="0"/>
            <wp:docPr id="262" name="Рисунок 262" descr="ГОСТ 31821-2012 (UNECE STANDARD FFV-05:2000) Баклажаны свежие, реализуемые в розничной торговл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ГОСТ 31821-2012 (UNECE STANDARD FFV-05:2000) Баклажаны свежие, реализуемые в розничной торговл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(1)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где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7" type="#_x0000_t75" alt="ГОСТ 31821-2012 (UNECE STANDARD FFV-05:2000) Баклажаны свежие, реализуемые в розничной торговле. Технические условия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- масса плодов с отклонениями по качеству и размерам,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кг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8" type="#_x0000_t75" alt="ГОСТ 31821-2012 (UNECE STANDARD FFV-05:2000) Баклажаны свежие, реализуемые в розничной торговле. Технические услов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общая масса плодов объединенной пробы,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Вычисления проводят с точностью до второго десятичного знака с последующим округлением до первого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Полученные результаты сравнивают со значениями, указанными в таблице 1. Результаты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9.5 Протокол испытаний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протоколе испытаний должны быть указаны использованный метод и полученный результат. Должны быть указаны все детали испытаний, не учтенные настоящим стандартом или рассматриваемые как необязательные, а также любые обстоятельства, которые могли бы повлиять на результаты испытаний.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Протокол испытаний должен содержать всю информацию, необходимую для полной идентификации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9.6 Калибровку плодов проводят в соответствии с 5.5.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9.7 Подготовка проб и минерализация проб для определения содержания токсичных элементов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9.8 Определение ртути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9.9 Определение мышьяка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9.10 Определение свинца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9.11 Определение кадмия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9.12 Определение нитратов, радионуклидов, яиц гельминтов и цист кишечных патогенных простейших в свежих баклажанах - по методам, утвержденным нормативно-правовыми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9.13 Определение пестицидов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30349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30710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10 Транспортирование и хранение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10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10.1 Свежие баклажаны транспортируют всеми видами транспорта в чистых, сухих, без постороннего запаха, не зараженных вредителями транспортных средствах в соответствии с правилами перевозок скоропортящихся грузов, действующими на соответствующих видах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10.2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ри транспортировании в рефрижераторных вагонах и авторефрижераторах температурный режим должен быть от 7 °С до 10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10.3 Высота укладывания ящиков со свежими баклажанами при перевозке в рефрижераторных вагонах должна быть 2,0-2,2 м в зависимости от типа подвижного состава.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10.4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опускается транспортирование свежих баклажанов транспортными пакетами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и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 Средства скрепления и способы пакетирования - по </w:t>
      </w:r>
      <w:r w:rsidRPr="005968DA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10.5 Свежие баклажаны хранят в чистых, сухих, не зараженных вредителями, без постороннего запаха, вентилируемых помещениях в соответствии с установленными правилами при температуре от 7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до 10 °С и относительной влажности воздуха от 85% до 90% не более 15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ДА (справочное). Сведения о соответствии ссылочных межгосударственных стандартов международным стандартам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ДА.1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6"/>
        <w:gridCol w:w="1777"/>
        <w:gridCol w:w="4366"/>
      </w:tblGrid>
      <w:tr w:rsidR="005968DA" w:rsidTr="005968DA">
        <w:trPr>
          <w:trHeight w:val="15"/>
        </w:trPr>
        <w:tc>
          <w:tcPr>
            <w:tcW w:w="4620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</w:tr>
      <w:tr w:rsidR="005968DA" w:rsidTr="005968DA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соответствия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ссылочного межгосударственного стандарта</w:t>
            </w:r>
          </w:p>
        </w:tc>
      </w:tr>
      <w:tr w:rsidR="005968DA" w:rsidTr="005968DA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3599-76 Штангенциркули с ценой деления 0,1 и 0,05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IDT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68DA">
              <w:rPr>
                <w:color w:val="2D2D2D"/>
                <w:sz w:val="15"/>
                <w:szCs w:val="15"/>
              </w:rPr>
              <w:t>ГОСТ 166-89</w:t>
            </w:r>
            <w:r>
              <w:rPr>
                <w:color w:val="2D2D2D"/>
                <w:sz w:val="15"/>
                <w:szCs w:val="15"/>
              </w:rPr>
              <w:t> (ИСО 3599-76) Штангенциркули. Технические условия</w:t>
            </w:r>
          </w:p>
        </w:tc>
      </w:tr>
      <w:tr w:rsidR="005968DA" w:rsidTr="005968DA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1956-2-82 Фрукты и овощи. Морфологическая и структуральная терминология. Часть 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IDT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68DA">
              <w:rPr>
                <w:color w:val="2D2D2D"/>
                <w:sz w:val="15"/>
                <w:szCs w:val="15"/>
              </w:rPr>
              <w:t>ГОСТ 27520-87</w:t>
            </w:r>
            <w:r>
              <w:rPr>
                <w:color w:val="2D2D2D"/>
                <w:sz w:val="15"/>
                <w:szCs w:val="15"/>
              </w:rPr>
              <w:t> (ИСО 1956-2-82) Фрукты и овощи. Морфологическая и структуральная терминология. Часть 2</w:t>
            </w:r>
          </w:p>
        </w:tc>
      </w:tr>
      <w:tr w:rsidR="005968DA" w:rsidTr="005968DA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1991-1-82 Овощи. Номенклатура. Первый список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IDT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68DA">
              <w:rPr>
                <w:color w:val="2D2D2D"/>
                <w:sz w:val="15"/>
                <w:szCs w:val="15"/>
              </w:rPr>
              <w:t>ГОСТ 27523-87</w:t>
            </w:r>
            <w:r>
              <w:rPr>
                <w:color w:val="2D2D2D"/>
                <w:sz w:val="15"/>
                <w:szCs w:val="15"/>
              </w:rPr>
              <w:t> (ИСО 1991-1-82) Овощи. Номенклатура. Первый список</w:t>
            </w:r>
          </w:p>
        </w:tc>
      </w:tr>
      <w:tr w:rsidR="005968DA" w:rsidTr="005968DA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В настоящей таблице использовано следующее условное обозначение степени соответствия стандарта: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IDT - идентичный стандарт.</w:t>
            </w:r>
          </w:p>
        </w:tc>
      </w:tr>
    </w:tbl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68DA" w:rsidRDefault="005968DA" w:rsidP="005968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Приложение ДБ (справочное). Сравнение структуры европейского регионального стандарта со структурой межгосударственного стандарта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ДБ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ДБ.1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74"/>
        <w:gridCol w:w="2132"/>
        <w:gridCol w:w="4383"/>
      </w:tblGrid>
      <w:tr w:rsidR="005968DA" w:rsidTr="005968DA">
        <w:trPr>
          <w:trHeight w:val="15"/>
        </w:trPr>
        <w:tc>
          <w:tcPr>
            <w:tcW w:w="4250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</w:tr>
      <w:tr w:rsidR="005968DA" w:rsidTr="005968DA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Структура европейского регионального стандарта ЕЭК ООН FFV-05-2000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Структура межгосударственного стандарта ГОСТ 31821-2012 (ЕЭК ООН FFV-05-2000)</w:t>
            </w:r>
          </w:p>
        </w:tc>
      </w:tr>
      <w:tr w:rsidR="005968DA" w:rsidTr="005968DA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Раздел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Подраздел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Раздел</w:t>
            </w:r>
          </w:p>
        </w:tc>
      </w:tr>
      <w:tr w:rsidR="005968DA" w:rsidTr="005968DA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 Определение продукта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 Область применения</w:t>
            </w:r>
          </w:p>
        </w:tc>
      </w:tr>
      <w:tr w:rsidR="005968DA" w:rsidTr="005968DA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 Положения, касающиеся качества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 - Минимальные требования</w:t>
            </w:r>
            <w:proofErr w:type="gramStart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 Классификация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2 Нормативные ссылки</w:t>
            </w:r>
          </w:p>
        </w:tc>
      </w:tr>
      <w:tr w:rsidR="005968DA" w:rsidTr="005968DA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 Положения, касающиеся калибровки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3 </w:t>
            </w:r>
            <w:r>
              <w:rPr>
                <w:i/>
                <w:iCs/>
                <w:color w:val="2D2D2D"/>
                <w:sz w:val="15"/>
                <w:szCs w:val="15"/>
              </w:rPr>
              <w:t>Термины и</w:t>
            </w:r>
            <w:r>
              <w:rPr>
                <w:color w:val="2D2D2D"/>
                <w:sz w:val="15"/>
                <w:szCs w:val="15"/>
              </w:rPr>
              <w:t> определения</w:t>
            </w:r>
          </w:p>
        </w:tc>
      </w:tr>
      <w:tr w:rsidR="005968DA" w:rsidTr="005968DA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 Положения, касающиеся допусков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4 </w:t>
            </w:r>
            <w:r>
              <w:rPr>
                <w:i/>
                <w:iCs/>
                <w:color w:val="2D2D2D"/>
                <w:sz w:val="15"/>
                <w:szCs w:val="15"/>
              </w:rPr>
              <w:t>Классификация</w:t>
            </w:r>
          </w:p>
        </w:tc>
      </w:tr>
      <w:tr w:rsidR="005968DA" w:rsidTr="005968DA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 Положения, касающиеся товарного вида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 - Однородность</w:t>
            </w:r>
            <w:proofErr w:type="gramStart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Упаковка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Технические </w:t>
            </w:r>
            <w:r>
              <w:rPr>
                <w:i/>
                <w:iCs/>
                <w:color w:val="2D2D2D"/>
                <w:sz w:val="15"/>
                <w:szCs w:val="15"/>
              </w:rPr>
              <w:t>требования</w:t>
            </w:r>
          </w:p>
        </w:tc>
      </w:tr>
      <w:tr w:rsidR="005968DA" w:rsidTr="005968DA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VI Положения, касающиеся маркировки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t> Упаковка</w:t>
            </w:r>
          </w:p>
        </w:tc>
      </w:tr>
      <w:tr w:rsidR="005968DA" w:rsidTr="005968DA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7 Маркировка</w:t>
            </w:r>
          </w:p>
        </w:tc>
      </w:tr>
      <w:tr w:rsidR="005968DA" w:rsidTr="005968DA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8 Правила приемки</w:t>
            </w:r>
          </w:p>
        </w:tc>
      </w:tr>
      <w:tr w:rsidR="005968DA" w:rsidTr="005968DA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9 Методы контроля</w:t>
            </w:r>
          </w:p>
        </w:tc>
      </w:tr>
      <w:tr w:rsidR="005968DA" w:rsidTr="005968DA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 Транспортирование и хранение</w:t>
            </w:r>
          </w:p>
        </w:tc>
      </w:tr>
      <w:tr w:rsidR="005968DA" w:rsidTr="005968DA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ДА Сведения о соответствии ссылочных межгосударственных стандартов международным стандартам</w:t>
            </w:r>
          </w:p>
        </w:tc>
      </w:tr>
      <w:tr w:rsidR="005968DA" w:rsidTr="005968DA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ДБ Сравнение структуры европейского регионального стандарта со структурой межгосударственного стандарта</w:t>
            </w:r>
          </w:p>
        </w:tc>
      </w:tr>
      <w:tr w:rsidR="005968DA" w:rsidTr="005968DA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Библиография</w:t>
            </w:r>
          </w:p>
        </w:tc>
      </w:tr>
      <w:tr w:rsidR="005968DA" w:rsidTr="005968DA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Примечание - Межгосударственный стандарт дополнен разделами 2, 3, 4, 9 и 10, а также дополнительными </w:t>
            </w:r>
            <w:proofErr w:type="gramStart"/>
            <w:r>
              <w:rPr>
                <w:color w:val="2D2D2D"/>
                <w:sz w:val="15"/>
                <w:szCs w:val="15"/>
              </w:rPr>
              <w:t>приложениями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 и ДБ в соответствии с требованиями к оформлению межгосударственного стандарта, модифицированного со стандартом ЕЭК ООН FFV.</w:t>
            </w:r>
          </w:p>
        </w:tc>
      </w:tr>
    </w:tbl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5968DA" w:rsidRDefault="005968DA" w:rsidP="005968D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</w:p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"Библиография"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9752"/>
      </w:tblGrid>
      <w:tr w:rsidR="005968DA" w:rsidTr="005968DA">
        <w:trPr>
          <w:trHeight w:val="15"/>
        </w:trPr>
        <w:tc>
          <w:tcPr>
            <w:tcW w:w="739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  <w:tc>
          <w:tcPr>
            <w:tcW w:w="9794" w:type="dxa"/>
            <w:hideMark/>
          </w:tcPr>
          <w:p w:rsidR="005968DA" w:rsidRDefault="005968DA">
            <w:pPr>
              <w:rPr>
                <w:sz w:val="2"/>
                <w:szCs w:val="24"/>
              </w:rPr>
            </w:pPr>
          </w:p>
        </w:tc>
      </w:tr>
      <w:tr w:rsidR="005968DA" w:rsidTr="005968D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[1]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68DA">
              <w:rPr>
                <w:color w:val="2D2D2D"/>
                <w:sz w:val="15"/>
                <w:szCs w:val="15"/>
              </w:rPr>
              <w:t xml:space="preserve">Технический регламент Таможенного союза </w:t>
            </w:r>
            <w:proofErr w:type="gramStart"/>
            <w:r w:rsidRPr="005968DA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5968DA">
              <w:rPr>
                <w:color w:val="2D2D2D"/>
                <w:sz w:val="15"/>
                <w:szCs w:val="15"/>
              </w:rPr>
              <w:t xml:space="preserve"> ТС 021/2011 "О безопасности пищевой продукции"</w:t>
            </w:r>
          </w:p>
        </w:tc>
      </w:tr>
      <w:tr w:rsidR="005968DA" w:rsidTr="005968D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[2]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68DA">
              <w:rPr>
                <w:color w:val="2D2D2D"/>
                <w:sz w:val="15"/>
                <w:szCs w:val="15"/>
              </w:rPr>
              <w:t xml:space="preserve">Технический регламент Таможенного союза </w:t>
            </w:r>
            <w:proofErr w:type="gramStart"/>
            <w:r w:rsidRPr="005968DA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5968DA">
              <w:rPr>
                <w:color w:val="2D2D2D"/>
                <w:sz w:val="15"/>
                <w:szCs w:val="15"/>
              </w:rPr>
              <w:t xml:space="preserve"> ТС 005/2011 "О безопасности упаковки"</w:t>
            </w:r>
          </w:p>
        </w:tc>
      </w:tr>
      <w:tr w:rsidR="005968DA" w:rsidTr="005968DA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[3]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68DA" w:rsidRDefault="005968D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68DA">
              <w:rPr>
                <w:color w:val="2D2D2D"/>
                <w:sz w:val="15"/>
                <w:szCs w:val="15"/>
              </w:rPr>
              <w:t xml:space="preserve">Технический регламент Таможенного союза </w:t>
            </w:r>
            <w:proofErr w:type="gramStart"/>
            <w:r w:rsidRPr="005968DA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5968DA">
              <w:rPr>
                <w:color w:val="2D2D2D"/>
                <w:sz w:val="15"/>
                <w:szCs w:val="15"/>
              </w:rPr>
              <w:t xml:space="preserve"> ТС 022/2011 "Пищевая продукция в части ее маркировки"</w:t>
            </w:r>
          </w:p>
        </w:tc>
      </w:tr>
    </w:tbl>
    <w:p w:rsidR="005968DA" w:rsidRDefault="005968DA" w:rsidP="005968D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УДК 635.646 МКС 67.080 С42 MOD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Ключевые слова: свежие баклажаны, термины и определения, технические требования, калибровка, упаковка, маркировка, правила приемки, методы контроля, транспортирование,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177C25" w:rsidRPr="005968DA" w:rsidRDefault="00177C25" w:rsidP="005968DA">
      <w:pPr>
        <w:rPr>
          <w:szCs w:val="15"/>
        </w:rPr>
      </w:pPr>
    </w:p>
    <w:sectPr w:rsidR="00177C25" w:rsidRPr="005968DA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45" w:rsidRDefault="00923745" w:rsidP="007E5D19">
      <w:pPr>
        <w:spacing w:after="0" w:line="240" w:lineRule="auto"/>
      </w:pPr>
      <w:r>
        <w:separator/>
      </w:r>
    </w:p>
  </w:endnote>
  <w:endnote w:type="continuationSeparator" w:id="0">
    <w:p w:rsidR="00923745" w:rsidRDefault="00923745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45" w:rsidRDefault="00923745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23745" w:rsidRDefault="00923745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45" w:rsidRDefault="00923745" w:rsidP="007E5D19">
      <w:pPr>
        <w:spacing w:after="0" w:line="240" w:lineRule="auto"/>
      </w:pPr>
      <w:r>
        <w:separator/>
      </w:r>
    </w:p>
  </w:footnote>
  <w:footnote w:type="continuationSeparator" w:id="0">
    <w:p w:rsidR="00923745" w:rsidRDefault="00923745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845"/>
    <w:multiLevelType w:val="multilevel"/>
    <w:tmpl w:val="72C2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B40B2"/>
    <w:multiLevelType w:val="multilevel"/>
    <w:tmpl w:val="666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C0CDF"/>
    <w:multiLevelType w:val="multilevel"/>
    <w:tmpl w:val="F110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10EA5"/>
    <w:multiLevelType w:val="multilevel"/>
    <w:tmpl w:val="26CC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211FF"/>
    <w:multiLevelType w:val="multilevel"/>
    <w:tmpl w:val="51D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01E5E"/>
    <w:multiLevelType w:val="multilevel"/>
    <w:tmpl w:val="4496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95CC1"/>
    <w:multiLevelType w:val="multilevel"/>
    <w:tmpl w:val="6884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36009"/>
    <w:multiLevelType w:val="multilevel"/>
    <w:tmpl w:val="FD64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E09ED"/>
    <w:multiLevelType w:val="multilevel"/>
    <w:tmpl w:val="DD40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852F9"/>
    <w:multiLevelType w:val="multilevel"/>
    <w:tmpl w:val="D6B4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D747B"/>
    <w:multiLevelType w:val="multilevel"/>
    <w:tmpl w:val="E28C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330C2"/>
    <w:multiLevelType w:val="multilevel"/>
    <w:tmpl w:val="71C4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6255B"/>
    <w:multiLevelType w:val="multilevel"/>
    <w:tmpl w:val="C11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A7664"/>
    <w:multiLevelType w:val="multilevel"/>
    <w:tmpl w:val="7CFE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32670"/>
    <w:multiLevelType w:val="multilevel"/>
    <w:tmpl w:val="8A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41D99"/>
    <w:multiLevelType w:val="multilevel"/>
    <w:tmpl w:val="6FEC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0"/>
  </w:num>
  <w:num w:numId="7">
    <w:abstractNumId w:val="15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B511F"/>
    <w:rsid w:val="000C34D1"/>
    <w:rsid w:val="000E11B6"/>
    <w:rsid w:val="00144A40"/>
    <w:rsid w:val="00153F83"/>
    <w:rsid w:val="001741CA"/>
    <w:rsid w:val="00177C25"/>
    <w:rsid w:val="001969B2"/>
    <w:rsid w:val="002D3ACA"/>
    <w:rsid w:val="00313072"/>
    <w:rsid w:val="00362C0C"/>
    <w:rsid w:val="003D53F9"/>
    <w:rsid w:val="003F7A45"/>
    <w:rsid w:val="00426F9D"/>
    <w:rsid w:val="00477A04"/>
    <w:rsid w:val="0059308D"/>
    <w:rsid w:val="005968DA"/>
    <w:rsid w:val="006B6B83"/>
    <w:rsid w:val="007214CA"/>
    <w:rsid w:val="007E5D19"/>
    <w:rsid w:val="008E615F"/>
    <w:rsid w:val="00923745"/>
    <w:rsid w:val="0095551E"/>
    <w:rsid w:val="00A56C42"/>
    <w:rsid w:val="00A716F7"/>
    <w:rsid w:val="00A9165C"/>
    <w:rsid w:val="00AA6FD4"/>
    <w:rsid w:val="00B113A5"/>
    <w:rsid w:val="00B4381A"/>
    <w:rsid w:val="00C75A1C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54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93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26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443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3546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04987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382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3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669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973945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9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00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4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3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03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4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43408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36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218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2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964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650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754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7882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531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36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859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814852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6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1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4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67356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62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75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467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30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1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92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579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61971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7117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6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19596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3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2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3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880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5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11819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43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44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06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29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919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550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5790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287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684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38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292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2308193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2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978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0605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9073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5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4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91566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67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9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281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51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42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01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33823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24149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498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24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88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0331167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7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71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2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21273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271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195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11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960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31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456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4080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03171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453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450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994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1209448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7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7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8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88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4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2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98206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647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473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2017-08-16T10:52:00Z</dcterms:created>
  <dcterms:modified xsi:type="dcterms:W3CDTF">2017-08-16T10:52:00Z</dcterms:modified>
</cp:coreProperties>
</file>