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E" w:rsidRDefault="003A2ACE" w:rsidP="003A2AC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>ГОСТ 32102-2013 Консервы. Продукция соковая. Соки фруктовые концентрированные. Общие технические условия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ГОСТ 32102-2013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Н54</w:t>
      </w:r>
    </w:p>
    <w:p w:rsidR="003A2ACE" w:rsidRDefault="003A2ACE" w:rsidP="003A2A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3A2ACE" w:rsidRDefault="003A2ACE" w:rsidP="003A2A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Консервы</w:t>
      </w:r>
    </w:p>
    <w:p w:rsidR="003A2ACE" w:rsidRDefault="003A2ACE" w:rsidP="003A2A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Продукция соковая</w:t>
      </w:r>
    </w:p>
    <w:p w:rsidR="003A2ACE" w:rsidRDefault="003A2ACE" w:rsidP="003A2ACE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СОКИ ФРУКТОВЫЕ КОНЦЕНТРИРОВАННЫЕ</w:t>
      </w:r>
    </w:p>
    <w:p w:rsidR="003A2ACE" w:rsidRDefault="003A2ACE" w:rsidP="003A2A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Общие технические условия</w:t>
      </w:r>
    </w:p>
    <w:p w:rsidR="003A2ACE" w:rsidRPr="003A2ACE" w:rsidRDefault="003A2ACE" w:rsidP="003A2A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br/>
      </w:r>
      <w:proofErr w:type="gramStart"/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Canned foods.</w:t>
      </w:r>
      <w:proofErr w:type="gramEnd"/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gramStart"/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Juice products.</w:t>
      </w:r>
      <w:proofErr w:type="gramEnd"/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olor w:val="3C3C3C"/>
          <w:spacing w:val="1"/>
          <w:sz w:val="20"/>
          <w:szCs w:val="20"/>
        </w:rPr>
        <w:t>С</w:t>
      </w:r>
      <w:proofErr w:type="spellStart"/>
      <w:proofErr w:type="gramEnd"/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oncentrated</w:t>
      </w:r>
      <w:proofErr w:type="spellEnd"/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fruit juices. General specifications</w:t>
      </w:r>
    </w:p>
    <w:p w:rsidR="003A2ACE" w:rsidRP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 w:rsidRPr="003A2ACE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МКС</w:t>
      </w:r>
      <w:r w:rsidRPr="003A2ACE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67.160.20</w:t>
      </w:r>
    </w:p>
    <w:p w:rsidR="003A2ACE" w:rsidRP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</w:t>
      </w:r>
      <w:r w:rsidRPr="003A2ACE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4"/>
          <w:szCs w:val="14"/>
        </w:rPr>
        <w:t>введения</w:t>
      </w:r>
      <w:r w:rsidRPr="003A2ACE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2014-07-01</w:t>
      </w:r>
    </w:p>
    <w:p w:rsidR="003A2ACE" w:rsidRDefault="003A2ACE" w:rsidP="003A2AC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     </w:t>
      </w:r>
      <w:r w:rsidRPr="003A2ACE">
        <w:rPr>
          <w:rFonts w:ascii="Arial" w:hAnsi="Arial" w:cs="Arial"/>
          <w:color w:val="3C3C3C"/>
          <w:spacing w:val="1"/>
          <w:sz w:val="20"/>
          <w:szCs w:val="20"/>
        </w:rPr>
        <w:br/>
      </w:r>
      <w:r w:rsidRPr="003A2AC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     </w:t>
      </w:r>
      <w:r w:rsidRPr="003A2ACE">
        <w:rPr>
          <w:rFonts w:ascii="Arial" w:hAnsi="Arial" w:cs="Arial"/>
          <w:color w:val="3C3C3C"/>
          <w:spacing w:val="1"/>
          <w:sz w:val="20"/>
          <w:szCs w:val="20"/>
        </w:rPr>
        <w:br/>
      </w:r>
      <w:r>
        <w:rPr>
          <w:rFonts w:ascii="Arial" w:hAnsi="Arial" w:cs="Arial"/>
          <w:color w:val="3C3C3C"/>
          <w:spacing w:val="1"/>
          <w:sz w:val="20"/>
          <w:szCs w:val="20"/>
        </w:rPr>
        <w:t>Предисловие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Всероссийским научно-исследовательский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 при участии Некоммерческой организации "Российский союз производителей соков" (РСПС)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 (ТК 093)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N 43-2013 от 7 июня 2013 г.)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2"/>
        <w:gridCol w:w="2206"/>
        <w:gridCol w:w="4721"/>
      </w:tblGrid>
      <w:tr w:rsidR="003A2ACE" w:rsidTr="003A2ACE">
        <w:trPr>
          <w:trHeight w:val="15"/>
        </w:trPr>
        <w:tc>
          <w:tcPr>
            <w:tcW w:w="3881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</w:tr>
      <w:tr w:rsidR="003A2ACE" w:rsidTr="003A2AC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3A2ACE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 </w:t>
            </w:r>
            <w:r w:rsidRPr="003A2ACE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3A2ACE" w:rsidTr="003A2AC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Армения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Минэкономики Республики Армения</w:t>
            </w:r>
          </w:p>
        </w:tc>
      </w:tr>
      <w:tr w:rsidR="003A2ACE" w:rsidTr="003A2AC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Казахстан</w:t>
            </w:r>
          </w:p>
        </w:tc>
      </w:tr>
      <w:tr w:rsidR="003A2ACE" w:rsidTr="003A2AC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Кыргызстандарт</w:t>
            </w:r>
            <w:proofErr w:type="spellEnd"/>
          </w:p>
        </w:tc>
      </w:tr>
      <w:tr w:rsidR="003A2ACE" w:rsidTr="003A2AC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3A2ACE" w:rsidTr="003A2AC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Таджикстандарт</w:t>
            </w:r>
            <w:proofErr w:type="spellEnd"/>
          </w:p>
        </w:tc>
      </w:tr>
      <w:tr w:rsidR="003A2ACE" w:rsidTr="003A2AC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 Приказом Федерального агентства по техническому регулированию и метрологии от 28 июня 2013 г. N 335-ст межгосударственный стандарт ГОСТ 32102-2013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 xml:space="preserve">Информация об изменении к настоящему стандарту публикуется в ежегодном информационном указателе "Национальные стандарты", а текст изменений и правок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</w:t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lastRenderedPageBreak/>
        <w:t>Соответствующая информация, уведомления и тексты размещаются в информационной системе общего пользования - на информационном сайте Федерального агентства по техническому регулированию и метрологии в сети Интернет.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Настоящий стандарт распространяется на соковую продукцию - фруктовые концентрированные соки (далее - соки).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5717.1-2003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5717.2-2003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5981-2011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и крышки к ним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6828-89</w:t>
      </w:r>
      <w:r>
        <w:rPr>
          <w:rFonts w:ascii="Arial" w:hAnsi="Arial" w:cs="Arial"/>
          <w:color w:val="2D2D2D"/>
          <w:spacing w:val="1"/>
          <w:sz w:val="14"/>
          <w:szCs w:val="14"/>
        </w:rPr>
        <w:t> Земляника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6829-89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Смородина черная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6830-89</w:t>
      </w:r>
      <w:r>
        <w:rPr>
          <w:rFonts w:ascii="Arial" w:hAnsi="Arial" w:cs="Arial"/>
          <w:color w:val="2D2D2D"/>
          <w:spacing w:val="1"/>
          <w:sz w:val="14"/>
          <w:szCs w:val="14"/>
        </w:rPr>
        <w:t> Крыжовник свежий.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Отбор проб и подготовка их к испытанию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8756.1-79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8756.9-78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осадка в плодовых и ягодных соках и экстрактах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содержания мякоти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8756.11-70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прозрачности соков и экстрактов, растворимости экстрактов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8756.18-70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10117.1-2001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10117.2-2001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13799-81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плодовая, ягодная, овощная и грибная консервированная.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19215-73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Клюква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19360-74</w:t>
      </w:r>
      <w:r>
        <w:rPr>
          <w:rFonts w:ascii="Arial" w:hAnsi="Arial" w:cs="Arial"/>
          <w:color w:val="2D2D2D"/>
          <w:spacing w:val="1"/>
          <w:sz w:val="14"/>
          <w:szCs w:val="14"/>
        </w:rPr>
        <w:t> Мешки-вкладыши пленочные.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20450-75</w:t>
      </w:r>
      <w:r>
        <w:rPr>
          <w:rFonts w:ascii="Arial" w:hAnsi="Arial" w:cs="Arial"/>
          <w:color w:val="2D2D2D"/>
          <w:spacing w:val="1"/>
          <w:sz w:val="14"/>
          <w:szCs w:val="14"/>
        </w:rPr>
        <w:t> Брусника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21405-75</w:t>
      </w:r>
      <w:r>
        <w:rPr>
          <w:rFonts w:ascii="Arial" w:hAnsi="Arial" w:cs="Arial"/>
          <w:color w:val="2D2D2D"/>
          <w:spacing w:val="1"/>
          <w:sz w:val="14"/>
          <w:szCs w:val="14"/>
        </w:rPr>
        <w:t> Алыча мелкоплодная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21713-76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Груши свежие поздних сроков созревания.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21714-76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Груши свежие ранних сроков созревания.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21715-76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Айва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21832-76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Абрикосы свежие.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21833-76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Персики свежие.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21920-76</w:t>
      </w:r>
      <w:r>
        <w:rPr>
          <w:rFonts w:ascii="Arial" w:hAnsi="Arial" w:cs="Arial"/>
          <w:color w:val="2D2D2D"/>
          <w:spacing w:val="1"/>
          <w:sz w:val="14"/>
          <w:szCs w:val="14"/>
        </w:rPr>
        <w:t> Слива и алыча крупноплодная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21921-76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Вишня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21922-76</w:t>
      </w:r>
      <w:r>
        <w:rPr>
          <w:rFonts w:ascii="Arial" w:hAnsi="Arial" w:cs="Arial"/>
          <w:color w:val="2D2D2D"/>
          <w:spacing w:val="1"/>
          <w:sz w:val="14"/>
          <w:szCs w:val="14"/>
        </w:rPr>
        <w:t> Черешня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25555.3-82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25555.5-91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диоксида серы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25896-83</w:t>
      </w:r>
      <w:r>
        <w:rPr>
          <w:rFonts w:ascii="Arial" w:hAnsi="Arial" w:cs="Arial"/>
          <w:color w:val="2D2D2D"/>
          <w:spacing w:val="1"/>
          <w:sz w:val="14"/>
          <w:szCs w:val="14"/>
        </w:rPr>
        <w:t> Виноград свежий столовый.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26313-84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26669-85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26670-91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26671-85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26929-94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Подготовка проб. Минерализация для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27572-87</w:t>
      </w:r>
      <w:r>
        <w:rPr>
          <w:rFonts w:ascii="Arial" w:hAnsi="Arial" w:cs="Arial"/>
          <w:color w:val="2D2D2D"/>
          <w:spacing w:val="1"/>
          <w:sz w:val="14"/>
          <w:szCs w:val="14"/>
        </w:rPr>
        <w:t> Яблоки свежие для промышленной переработки.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27573-87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 граната свежие.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28472-90</w:t>
      </w:r>
      <w:r>
        <w:rPr>
          <w:rFonts w:ascii="Arial" w:hAnsi="Arial" w:cs="Arial"/>
          <w:color w:val="2D2D2D"/>
          <w:spacing w:val="1"/>
          <w:sz w:val="14"/>
          <w:szCs w:val="14"/>
        </w:rPr>
        <w:t> Виноград свежий ручной уборки для консервирования. Требования при заготовках и поставках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28562-90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Рефрактометрический метод определения растворимых сухих веществ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29187-91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 и ягоды быстрозамороженные.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29270-95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нитратов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30349-96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30425-97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30710-2001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31628-2012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31643-2012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аскорбиновой кислоты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31669-2012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сахарозы, глюкозы, фруктозы и сорбита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углерода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водорода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31717-2012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аскорбиновой кислоты ферментативным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31718-2012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кислорода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31904-2012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"Национальный стандарты" за текущий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применяют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термины и определения по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 Наименования соков устанавливают в зависимости от вида используемого сырья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 Соки, в зависимости от технологии изготовления, подразделяют на: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концентрированные;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концентрированные осветленные.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соки могут быть добавлены мякоть, клетки цитрусовых фруктов и другие компоненты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 5.3.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4.3 Соки изготавливают из одного вида фруктов или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смешанными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(из двух и более видов фруктов).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 Соки изготавливают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 настоящего стандарта по документам на конкретные наименования соков и/или по технологическим инструкциям и/или по рецептурам.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соки должны соответствовать требованиям, приведенным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43"/>
        <w:gridCol w:w="7246"/>
      </w:tblGrid>
      <w:tr w:rsidR="003A2ACE" w:rsidTr="003A2ACE">
        <w:trPr>
          <w:trHeight w:val="15"/>
        </w:trPr>
        <w:tc>
          <w:tcPr>
            <w:tcW w:w="3511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</w:tr>
      <w:tr w:rsidR="003A2ACE" w:rsidTr="003A2AC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</w:t>
            </w:r>
          </w:p>
        </w:tc>
      </w:tr>
      <w:tr w:rsidR="003A2ACE" w:rsidTr="003A2AC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соков: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rPr>
                <w:sz w:val="24"/>
                <w:szCs w:val="24"/>
              </w:rPr>
            </w:pPr>
          </w:p>
        </w:tc>
      </w:tr>
      <w:tr w:rsidR="003A2ACE" w:rsidTr="003A2AC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концентрированных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Густая, вязкая непрозрачная. Допускается осадок на дне упаковки.</w:t>
            </w:r>
          </w:p>
        </w:tc>
      </w:tr>
      <w:tr w:rsidR="003A2ACE" w:rsidTr="003A2AC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концентрированных осветленных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Густая, вязкая почти прозрачная жидкость стабильная в процессе хранения, допускается легкая опалесценция.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осадок на дне упаковки.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наличие в соках кристаллов на дне или стенках упаковки (любой), легко растворяющихся при восстановлении, а также винного камня для виноградного сока.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</w:r>
            <w:proofErr w:type="gramStart"/>
            <w:r>
              <w:rPr>
                <w:color w:val="2D2D2D"/>
                <w:sz w:val="14"/>
                <w:szCs w:val="14"/>
              </w:rPr>
              <w:t>Свойственные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сокам, из которых изготовлен концентрированный сок</w:t>
            </w:r>
          </w:p>
        </w:tc>
      </w:tr>
      <w:tr w:rsidR="003A2ACE" w:rsidTr="003A2AC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и аромат*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Допускаются невыраженные вкус и аромат концентрированных соков, в которые не добавлены концентрированные натуральные летучие ароматобразующие фруктовые вещества.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Допускаются: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для соков из дикорастущих ягод - естественная горечь;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для соков из цитрусовых - натуральная, естественная горечь и привкус эфирных масел.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lastRenderedPageBreak/>
              <w:t>Не допускаются посторонние привкус и запах</w:t>
            </w:r>
          </w:p>
        </w:tc>
      </w:tr>
      <w:tr w:rsidR="003A2ACE" w:rsidTr="003A2AC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Цвет*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Соответствующий цвету фруктов, из которых изготовлен концентрированный фруктовый сок.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Допускаются более темные оттенки в соках из светлоокрашенных фруктов и незначительное обесцвечивание соков из темноокрашенных фруктов</w:t>
            </w:r>
          </w:p>
        </w:tc>
      </w:tr>
      <w:tr w:rsidR="003A2ACE" w:rsidTr="003A2ACE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Примечания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1 Внешний вид для концентрированных фруктовых соков, консервированных путем замораживания, определяют после размораживания.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2 Вкус, аромат и цвет определяют в восстановленных соках по приложению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А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(для концентрированных соков, консервированных путем замораживания, после предварительного размораживания) соках.</w:t>
            </w:r>
          </w:p>
        </w:tc>
      </w:tr>
    </w:tbl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5.2.2 Требования к физико-химическим показателям соков приведены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8"/>
        <w:gridCol w:w="3211"/>
      </w:tblGrid>
      <w:tr w:rsidR="003A2ACE" w:rsidTr="003A2ACE">
        <w:trPr>
          <w:trHeight w:val="15"/>
        </w:trPr>
        <w:tc>
          <w:tcPr>
            <w:tcW w:w="8131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</w:tr>
      <w:tr w:rsidR="003A2ACE" w:rsidTr="003A2ACE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 показателя</w:t>
            </w:r>
          </w:p>
        </w:tc>
      </w:tr>
      <w:tr w:rsidR="003A2ACE" w:rsidTr="003A2ACE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осадка в соках осветленных, %,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</w:t>
            </w:r>
          </w:p>
        </w:tc>
      </w:tr>
      <w:tr w:rsidR="003A2ACE" w:rsidTr="003A2ACE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диоксида серы для виноградного сока, полученного из сырья, обработанного SO</w:t>
            </w:r>
            <w:r>
              <w:rPr>
                <w:color w:val="2D2D2D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75" type="#_x0000_t75" alt="ГОСТ 32102-2013 Консервы. Продукция соковая. Соки фруктовые концентрированные. Общие технические условия" style="width:8pt;height:17.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 </w:t>
            </w:r>
            <w:r w:rsidRPr="003A2ACE">
              <w:rPr>
                <w:color w:val="2D2D2D"/>
                <w:sz w:val="14"/>
                <w:szCs w:val="14"/>
              </w:rPr>
              <w:t>[1]</w:t>
            </w:r>
          </w:p>
        </w:tc>
      </w:tr>
      <w:tr w:rsidR="003A2ACE" w:rsidTr="003A2ACE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Минеральные примеси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допускаются</w:t>
            </w:r>
          </w:p>
        </w:tc>
      </w:tr>
      <w:tr w:rsidR="003A2ACE" w:rsidTr="003A2ACE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Примеси растительного происхождения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 же</w:t>
            </w:r>
          </w:p>
        </w:tc>
      </w:tr>
      <w:tr w:rsidR="003A2ACE" w:rsidTr="003A2ACE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Посторонние примеси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</w:p>
        </w:tc>
      </w:tr>
      <w:tr w:rsidR="003A2ACE" w:rsidTr="003A2ACE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Примечание - Нормы показателей (массовая доля осадка, массовая доля диоксида серы, примеси растительного происхождения, посторонние примеси) установлены в расчете на восстановленный сок.</w:t>
            </w:r>
          </w:p>
        </w:tc>
      </w:tr>
    </w:tbl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5.2.3 Требования к токсичным элементам,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микотоксинам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пестицидам, нитратам, радионуклидам (для соков, изготовленных из дикорастущих ягод), микробиологическим показателям патогенных и условно-патогенных микроорганизмов, должны соответствовать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5.2.4 Микробиологические показатели безопасности соков должны соответствовать требованиям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показатели патогенных и условно-патогенных микроорганизмов должны соответствовать требованиям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5.2.5 Органолептические показатели, конкретные значения физико-химических показателей, массовая доля растворимых сухих веществ в конкретных видах соков, пищевая ценность, обусловленные особенностями используемого сырья, рецептур и технологии производства, устанавливаются в документах на конкретные наименования соков и/или технологических инструкциях и/или рецептурах.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ля изготовления соков используют следующее сырье: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абрикосы свежие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21832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айву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21715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алычу крупноплодную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алычу мелкоплодную свежую (ткемали)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21405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ананасы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барбарис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бруснику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20450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бузину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виноград свежий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25896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28472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виноград свежий машинной уборки;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вишню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21921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голубику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гранаты свежие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27573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груши свежие ранних и поздних сроков созревания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21714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21713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груши сибирские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ежевику свежую дикорастущую;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жимолость свежую съедобную;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землянику (клубнику)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6828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калину лесную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кизил свежий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16524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клюкву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19215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крыжовник свежий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6830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лимонник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лимоны свежие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4429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мандарины свежие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4428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малину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морошку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нектарины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облепиху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персики свежие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21833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помело свежее;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рябину свежую дикорастущую;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рябину черноплодную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сливы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смородину красную и белую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смородину черную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6829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терн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черешню свежую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21922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чернику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яблоки свежие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27572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яблоки сибирские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яблоки дикорастущие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фрукты быстрозамороженные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29187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клетки цитрусовых фруктов,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концентрированные натуральные ароматобразующие фруктовые вещества;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пищевые добавки и технологические средства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Допускается добавление в сок концентрированных натуральных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ароматобразуюших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летучих фруктовых веществ того же вида фруктов, в количестве, не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превышающем их содержание в соке.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использование других видов сырья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Сырье, используемое для изготовления соков, по показателям безопасности должно соответствовать требованиям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Соки фасуют в герметично укупориваемую потребительскую упаковку и упаковывают в транспортную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Потребительская и транспортная упаковка, укупорочные средства должны быть предназначены для применения в пищевой промышленности и соответствовать требованиям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Покрытия внутренней поверхности металлических банок и крышек должны быть изготовлены из лакокрасочных материалов, соответствующих требованиям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5981</w:t>
      </w:r>
      <w:r>
        <w:rPr>
          <w:rFonts w:ascii="Arial" w:hAnsi="Arial" w:cs="Arial"/>
          <w:color w:val="2D2D2D"/>
          <w:spacing w:val="1"/>
          <w:sz w:val="14"/>
          <w:szCs w:val="14"/>
        </w:rPr>
        <w:t> и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Концентрированные фруктовые соки фасуют, в том числе асептическим способом, в крупную транспортную упаковку типа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Bag-in-Box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 ("Мешок в коробке").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Концентрированные соки могут поставляться в автоцистернах и других видах транспортной упаковки, разрешенных для перевозки концентрированных соков.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Потребительская и транспортная упаковка должна обеспечивать сохранность соковой продукц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соответствие требованиям настоящего стандарта,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в течение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Рекомендуемая потребительская и транспортная упаковка 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упаковывания соков и укупорочные средства приведены в приложении Б.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 Объем продукта в одной упаковочной единице должен соответствовать номинальному количеству, указанному в маркировке потребительской упаковки, с учетом допустимых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допустимых отрицательных отклонений объема продукта в одной упаковочной единице от номинального количества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5.5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5.5.1 Маркировка потребительской упаковки -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 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5.5.2 Транспортная маркировка упаковки - по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5.5.3 Краски, применяемые для нанесения маркировки, и клей для наклеивания этикетки на упаковку, должны быть предназначены для применения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настоящему стандарту.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 Контроль органолептических, физико-химических показателей (кроме массовой доли осадка, примесей растительного происхождения, минеральных примесей, массовой доли диоксида серы), объема или массы нетто сока в одной потребительской упаковочной единице, качества упаковки и маркировки проводят для каждой партии продукта.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 Массовые доли осадка, диоксида серы, минеральных примесей и наличие примесей растительного происхождения определяют при возникновении разногласий при органолептической оценке качества соков.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6.4 Контроль показателей безопасности соков проводят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контроль микробиологических показателей патогенных и условно-патогенных микроорганизмов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 территории государств - 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6.5 Микробиологический контроль качества соков проводят в соответствии с требованиями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с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6.6 Идентификацию соков проводят по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8756.0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определения органолептических и физико-химических показателей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26671</w:t>
      </w:r>
      <w:r>
        <w:rPr>
          <w:rFonts w:ascii="Arial" w:hAnsi="Arial" w:cs="Arial"/>
          <w:color w:val="2D2D2D"/>
          <w:spacing w:val="1"/>
          <w:sz w:val="14"/>
          <w:szCs w:val="14"/>
        </w:rPr>
        <w:t>, минерализация проб для определения токсичных элементов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, отбор проб для микробиологических анализов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31904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микробиологических анализов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26669</w:t>
      </w:r>
      <w:r>
        <w:rPr>
          <w:rFonts w:ascii="Arial" w:hAnsi="Arial" w:cs="Arial"/>
          <w:color w:val="2D2D2D"/>
          <w:spacing w:val="1"/>
          <w:sz w:val="14"/>
          <w:szCs w:val="14"/>
        </w:rPr>
        <w:t>, культивирование и определение микроорганизмов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26670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 Определение герметичности стеклянной и металлической упаковки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Определение органолептических показателей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случае разногласий в визуальной оценке прозрачность осветленных соков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8756.11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массовой доли осадка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8756.9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7.5 Определение диоксида серы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25555.5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7.6 Определение минеральных примесей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25555.3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примесей растительного происхождения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26323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7.8 Посторонние примеси определяют визуально.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Определение массовой доли свинца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7.10 Определение массовой доли мышьяка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31628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7.11 Определение массовой доли кадмия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7.12 Определение массовой доли ртути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7.13 Определение массовой доли пестицидов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30349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30710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7.14 Определение массовой доли нитратов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29270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7.15 Определение промышленной стерильности соков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30425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7.16 Определение радионуклидов (для соков, изготовленных из дикорастущих ягод)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7.17 Определение показателей, используемых для идентификации соков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6.6):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аскорбиновой кислоты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31643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сахарозы, глюкозы, фруктозы и сорбита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31669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кислорода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водорода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углерода -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31714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Правила транспортирования и условия хранения соков - по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союза, и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Соки, фасованные в стеклянную упаковку,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Сроки годности соков устанавливает изготовитель с указанием условий хранения (рекомендуемые условия и сроки годности, в течение которых соки сохраняют свое качество, приведены в приложении Б).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Рекомендации по восстановлению концентрированного фруктового сока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определения вкуса, аромата и отдельных физико-химических показателей концентрированный фруктовый сок восстанавливают питьевой водой в соотношении: к 1 весовой части сока добавляют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776" type="#_x0000_t75" alt="ГОСТ 32102-2013 Консервы. Продукция соковая. Соки фруктовые концентрированные. Общие технические условия" style="width:9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весовых частей воды.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Количество весовых частей воды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777" type="#_x0000_t75" alt="ГОСТ 32102-2013 Консервы. Продукция соковая. Соки фруктовые концентрированные. Общие технические условия" style="width:9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добавляемое для восстановления концентрированных фруктовых соков с массовой долей сухих веществ по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Расчет добавляемого количества весовых частей воды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778" type="#_x0000_t75" alt="ГОСТ 32102-2013 Консервы. Продукция соковая. Соки фруктовые концентрированные. Общие технические условия" style="width:9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для соков с другим содержанием растворимых сухих веще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пр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оводится изготовителем с учетом массовой доли растворимых сухих веществ в восстановленных соках по [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 фактического содержания растворимых сухих веществ в концентрированных фруктовых соках.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Потребительская и транспортная упаковка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и упаковывания фруктовых концентрированных соков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 фасуют: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стеклянную упаковку по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5717.1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5717.2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10117.1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3A2ACE">
        <w:rPr>
          <w:rFonts w:ascii="Arial" w:hAnsi="Arial" w:cs="Arial"/>
          <w:color w:val="2D2D2D"/>
          <w:spacing w:val="1"/>
          <w:sz w:val="14"/>
          <w:szCs w:val="14"/>
        </w:rPr>
        <w:t>ГОСТ 10117.2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упаковку из полимерных и комбинированных материалов.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фасовать соки в упаковку из материалов других видов,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Рекомендуемые условия и сроки годности фруктовых концентрированных соков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Условия и сроки годности, в течение которых соки сохраняют свое качество со дня изготовления, не более: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асептического консервирования при температуре не выше 25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двух лет;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нестерилизованных при температуре не выше 10 °С: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 массовой долей растворимых сухих веществ более 70% - двух лет,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консервированных путем замораживания при температуре не выше минус 18 °С - двух лет.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A2ACE" w:rsidRDefault="003A2ACE" w:rsidP="003A2AC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166"/>
        <w:gridCol w:w="7625"/>
      </w:tblGrid>
      <w:tr w:rsidR="003A2ACE" w:rsidTr="003A2ACE">
        <w:trPr>
          <w:trHeight w:val="15"/>
        </w:trPr>
        <w:tc>
          <w:tcPr>
            <w:tcW w:w="739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3A2ACE" w:rsidRDefault="003A2ACE">
            <w:pPr>
              <w:rPr>
                <w:sz w:val="2"/>
                <w:szCs w:val="24"/>
              </w:rPr>
            </w:pPr>
          </w:p>
        </w:tc>
      </w:tr>
      <w:tr w:rsidR="003A2ACE" w:rsidTr="003A2A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3A2AC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3A2ACE">
              <w:rPr>
                <w:color w:val="2D2D2D"/>
                <w:sz w:val="14"/>
                <w:szCs w:val="14"/>
              </w:rPr>
              <w:t xml:space="preserve"> ТС 023/2011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"Технический регламент на соковую продукцию из фруктов и овощей". Утвержден </w:t>
            </w:r>
            <w:r w:rsidRPr="003A2ACE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 882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3A2ACE" w:rsidTr="003A2ACE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</w:tr>
      <w:tr w:rsidR="003A2ACE" w:rsidTr="003A2A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3A2AC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3A2ACE">
              <w:rPr>
                <w:color w:val="2D2D2D"/>
                <w:sz w:val="14"/>
                <w:szCs w:val="14"/>
              </w:rPr>
              <w:t xml:space="preserve"> ТС 021/2011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пищевой продукции". Утвержден </w:t>
            </w:r>
            <w:r w:rsidRPr="003A2ACE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 880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3A2ACE" w:rsidTr="003A2ACE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</w:tr>
      <w:tr w:rsidR="003A2ACE" w:rsidTr="003A2A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3A2AC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3A2ACE">
              <w:rPr>
                <w:color w:val="2D2D2D"/>
                <w:sz w:val="14"/>
                <w:szCs w:val="14"/>
              </w:rPr>
              <w:t xml:space="preserve"> ТС 029/2012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технологических вспомогательных средств". Утвержден </w:t>
            </w:r>
            <w:r w:rsidRPr="003A2ACE">
              <w:rPr>
                <w:color w:val="2D2D2D"/>
                <w:sz w:val="14"/>
                <w:szCs w:val="14"/>
              </w:rPr>
              <w:t>Решением ЕЭК от 20.07.2012 г., N 58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3A2ACE" w:rsidTr="003A2ACE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</w:tr>
      <w:tr w:rsidR="003A2ACE" w:rsidTr="003A2A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[4]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3A2AC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3A2ACE">
              <w:rPr>
                <w:color w:val="2D2D2D"/>
                <w:sz w:val="14"/>
                <w:szCs w:val="14"/>
              </w:rPr>
              <w:t xml:space="preserve"> ТС 005/2011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упаковки". Утвержден </w:t>
            </w:r>
            <w:r w:rsidRPr="003A2ACE">
              <w:rPr>
                <w:color w:val="2D2D2D"/>
                <w:sz w:val="14"/>
                <w:szCs w:val="14"/>
              </w:rPr>
              <w:t>Решением Комиссии Таможенного союза от 16.08.2011 г., N 769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3A2ACE" w:rsidTr="003A2ACE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</w:tr>
      <w:tr w:rsidR="003A2ACE" w:rsidTr="003A2AC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[5]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3A2AC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3A2ACE">
              <w:rPr>
                <w:color w:val="2D2D2D"/>
                <w:sz w:val="14"/>
                <w:szCs w:val="14"/>
              </w:rPr>
              <w:t xml:space="preserve"> ТС 022/2011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"Пищевая продукция в части ее маркировки". Утвержден </w:t>
            </w:r>
            <w:r w:rsidRPr="003A2ACE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 881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3A2ACE" w:rsidTr="003A2ACE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ACE" w:rsidRDefault="003A2AC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</w:tr>
    </w:tbl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УДК 663.81:006.354 МКС 67.160.20 Н54</w:t>
      </w:r>
    </w:p>
    <w:p w:rsidR="003A2ACE" w:rsidRDefault="003A2ACE" w:rsidP="003A2AC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Ключевые слова: продукция соковая, соки фруктовые концентрированные, соки овощные концентрированные, классификация, область применения, технические требования, правила приемки, методы контроля, упаковка, маркировка, транспортирование, хранение, срок годности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3D3E" w:rsidRPr="003A2ACE" w:rsidRDefault="00513D3E" w:rsidP="003A2ACE">
      <w:pPr>
        <w:rPr>
          <w:szCs w:val="14"/>
        </w:rPr>
      </w:pPr>
    </w:p>
    <w:sectPr w:rsidR="00513D3E" w:rsidRPr="003A2AC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70"/>
    <w:multiLevelType w:val="multilevel"/>
    <w:tmpl w:val="CA9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86537"/>
    <w:multiLevelType w:val="multilevel"/>
    <w:tmpl w:val="99C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71BB"/>
    <w:multiLevelType w:val="multilevel"/>
    <w:tmpl w:val="E70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975A5"/>
    <w:multiLevelType w:val="multilevel"/>
    <w:tmpl w:val="2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D1AB5"/>
    <w:multiLevelType w:val="multilevel"/>
    <w:tmpl w:val="962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D665F"/>
    <w:multiLevelType w:val="multilevel"/>
    <w:tmpl w:val="4C5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04047"/>
    <w:multiLevelType w:val="multilevel"/>
    <w:tmpl w:val="34F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15A05"/>
    <w:multiLevelType w:val="multilevel"/>
    <w:tmpl w:val="982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B1091"/>
    <w:multiLevelType w:val="multilevel"/>
    <w:tmpl w:val="8B4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0927"/>
    <w:multiLevelType w:val="multilevel"/>
    <w:tmpl w:val="801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A7D01"/>
    <w:multiLevelType w:val="multilevel"/>
    <w:tmpl w:val="B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24660"/>
    <w:multiLevelType w:val="multilevel"/>
    <w:tmpl w:val="11B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C4467"/>
    <w:multiLevelType w:val="multilevel"/>
    <w:tmpl w:val="EF1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0751E"/>
    <w:multiLevelType w:val="multilevel"/>
    <w:tmpl w:val="9B5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33A13"/>
    <w:multiLevelType w:val="multilevel"/>
    <w:tmpl w:val="6AB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F4CBB"/>
    <w:multiLevelType w:val="multilevel"/>
    <w:tmpl w:val="F23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1D405C"/>
    <w:rsid w:val="002D3ACA"/>
    <w:rsid w:val="00313072"/>
    <w:rsid w:val="00331393"/>
    <w:rsid w:val="00362C0C"/>
    <w:rsid w:val="003A2ACE"/>
    <w:rsid w:val="003D53F9"/>
    <w:rsid w:val="003F7A45"/>
    <w:rsid w:val="00477A04"/>
    <w:rsid w:val="004D44F6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75ACD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52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0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13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7887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6024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4478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976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35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743648176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3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031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4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52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964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53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5898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0795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692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7737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348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460684054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374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128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19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96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6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78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6575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3471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2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02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3291076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1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65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06070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1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2017-08-15T17:37:00Z</dcterms:created>
  <dcterms:modified xsi:type="dcterms:W3CDTF">2017-08-15T17:37:00Z</dcterms:modified>
</cp:coreProperties>
</file>