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D8D" w:rsidRDefault="00332D8D" w:rsidP="00332D8D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4640-2011 Вата минеральная. Технические условия</w:t>
      </w:r>
    </w:p>
    <w:p w:rsidR="00332D8D" w:rsidRDefault="00332D8D" w:rsidP="00332D8D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ГОСТ 4640-2011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Группа Ж15</w:t>
      </w:r>
    </w:p>
    <w:p w:rsidR="00332D8D" w:rsidRDefault="00332D8D" w:rsidP="00332D8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br/>
        <w:t>МЕЖГОСУДАРСТВЕННЫЙ СТАНДАРТ</w:t>
      </w:r>
    </w:p>
    <w:p w:rsidR="00332D8D" w:rsidRDefault="00332D8D" w:rsidP="00332D8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ВАТА МИНЕРАЛЬНАЯ</w:t>
      </w:r>
    </w:p>
    <w:p w:rsidR="00332D8D" w:rsidRDefault="00332D8D" w:rsidP="00332D8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Технические условия</w:t>
      </w:r>
    </w:p>
    <w:p w:rsidR="00332D8D" w:rsidRPr="00332D8D" w:rsidRDefault="00332D8D" w:rsidP="00332D8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  <w:lang w:val="en-US"/>
        </w:rPr>
      </w:pPr>
      <w:proofErr w:type="gramStart"/>
      <w:r w:rsidRPr="00332D8D">
        <w:rPr>
          <w:rFonts w:ascii="Arial" w:hAnsi="Arial" w:cs="Arial"/>
          <w:color w:val="3C3C3C"/>
          <w:spacing w:val="2"/>
          <w:sz w:val="34"/>
          <w:szCs w:val="34"/>
          <w:lang w:val="en-US"/>
        </w:rPr>
        <w:t>Mineral wool.</w:t>
      </w:r>
      <w:proofErr w:type="gramEnd"/>
      <w:r w:rsidRPr="00332D8D">
        <w:rPr>
          <w:rFonts w:ascii="Arial" w:hAnsi="Arial" w:cs="Arial"/>
          <w:color w:val="3C3C3C"/>
          <w:spacing w:val="2"/>
          <w:sz w:val="34"/>
          <w:szCs w:val="34"/>
          <w:lang w:val="en-US"/>
        </w:rPr>
        <w:t xml:space="preserve"> Specifications</w:t>
      </w:r>
    </w:p>
    <w:p w:rsidR="00332D8D" w:rsidRPr="00332D8D" w:rsidRDefault="00332D8D" w:rsidP="00332D8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  <w:lang w:val="en-US"/>
        </w:rPr>
      </w:pPr>
      <w:r w:rsidRPr="00332D8D">
        <w:rPr>
          <w:rFonts w:ascii="Arial" w:hAnsi="Arial" w:cs="Arial"/>
          <w:color w:val="2D2D2D"/>
          <w:spacing w:val="2"/>
          <w:sz w:val="23"/>
          <w:szCs w:val="23"/>
          <w:lang w:val="en-US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t>МКС</w:t>
      </w:r>
      <w:r w:rsidRPr="00332D8D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91.100.60</w:t>
      </w:r>
    </w:p>
    <w:p w:rsidR="00332D8D" w:rsidRPr="00332D8D" w:rsidRDefault="00332D8D" w:rsidP="00332D8D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  <w:lang w:val="en-US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Дата</w:t>
      </w:r>
      <w:r w:rsidRPr="00332D8D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введения</w:t>
      </w:r>
      <w:r w:rsidRPr="00332D8D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2012-07-01</w:t>
      </w:r>
    </w:p>
    <w:p w:rsidR="00332D8D" w:rsidRDefault="00332D8D" w:rsidP="00332D8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 w:rsidRPr="001E35F1">
        <w:rPr>
          <w:rFonts w:ascii="Arial" w:hAnsi="Arial" w:cs="Arial"/>
          <w:color w:val="3C3C3C"/>
          <w:spacing w:val="2"/>
          <w:sz w:val="34"/>
          <w:szCs w:val="34"/>
          <w:lang w:val="en-US"/>
        </w:rPr>
        <w:br/>
      </w:r>
      <w:r>
        <w:rPr>
          <w:rFonts w:ascii="Arial" w:hAnsi="Arial" w:cs="Arial"/>
          <w:color w:val="3C3C3C"/>
          <w:spacing w:val="2"/>
          <w:sz w:val="34"/>
          <w:szCs w:val="34"/>
        </w:rPr>
        <w:t>Предисловие</w:t>
      </w:r>
    </w:p>
    <w:p w:rsidR="00332D8D" w:rsidRDefault="00332D8D" w:rsidP="00332D8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Цели, основные принципы и основной порядок работ по межгосударственной стандартизации установлены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1E35F1">
        <w:rPr>
          <w:rFonts w:ascii="Arial" w:hAnsi="Arial" w:cs="Arial"/>
          <w:spacing w:val="2"/>
          <w:sz w:val="23"/>
          <w:szCs w:val="23"/>
        </w:rPr>
        <w:t>ГОСТ 1.0-92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"Межгосударственная система стандартизации. Основные положения" и МСН 1.01-01-2009* "Система межгосударственных нормативных документов в строительстве. Основные положения"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________________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Документ не приводится. За дополнительной информацией обратитесь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1E35F1">
        <w:rPr>
          <w:rFonts w:ascii="Arial" w:hAnsi="Arial" w:cs="Arial"/>
          <w:spacing w:val="2"/>
          <w:sz w:val="23"/>
          <w:szCs w:val="23"/>
        </w:rPr>
        <w:t>ссылке</w:t>
      </w:r>
      <w:r>
        <w:rPr>
          <w:rFonts w:ascii="Arial" w:hAnsi="Arial" w:cs="Arial"/>
          <w:color w:val="2D2D2D"/>
          <w:spacing w:val="2"/>
          <w:sz w:val="23"/>
          <w:szCs w:val="23"/>
        </w:rPr>
        <w:t>. - Примечание изготовителя базы данных.</w:t>
      </w:r>
    </w:p>
    <w:p w:rsidR="00332D8D" w:rsidRDefault="00332D8D" w:rsidP="00332D8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Сведения о стандарте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2D8D" w:rsidRDefault="00332D8D" w:rsidP="00332D8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РАЗРАБОТАН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Обществом с ограниченной ответственностью ООО "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Теплопроект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"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2D8D" w:rsidRDefault="00332D8D" w:rsidP="00332D8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ВНЕСЕН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Техническим комитетом по стандартизации ТК 465 "Строительство"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2D8D" w:rsidRDefault="00332D8D" w:rsidP="00332D8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 ПРИНЯТ Межгосударственной научно-технической комиссией по стандартизации, техническому нормированию и оценке соответствия в строительстве (приложение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Д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к протоколу от 18 марта 2011 г. N 38)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За принятие стандарта проголосовали: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34"/>
        <w:gridCol w:w="2609"/>
        <w:gridCol w:w="4904"/>
      </w:tblGrid>
      <w:tr w:rsidR="00332D8D" w:rsidTr="00332D8D">
        <w:trPr>
          <w:trHeight w:val="15"/>
        </w:trPr>
        <w:tc>
          <w:tcPr>
            <w:tcW w:w="2957" w:type="dxa"/>
            <w:hideMark/>
          </w:tcPr>
          <w:p w:rsidR="00332D8D" w:rsidRDefault="00332D8D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332D8D" w:rsidRDefault="00332D8D">
            <w:pPr>
              <w:rPr>
                <w:sz w:val="2"/>
                <w:szCs w:val="24"/>
              </w:rPr>
            </w:pPr>
          </w:p>
        </w:tc>
        <w:tc>
          <w:tcPr>
            <w:tcW w:w="5174" w:type="dxa"/>
            <w:hideMark/>
          </w:tcPr>
          <w:p w:rsidR="00332D8D" w:rsidRDefault="00332D8D">
            <w:pPr>
              <w:rPr>
                <w:sz w:val="2"/>
                <w:szCs w:val="24"/>
              </w:rPr>
            </w:pPr>
          </w:p>
        </w:tc>
      </w:tr>
      <w:tr w:rsidR="00332D8D" w:rsidTr="00332D8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2D8D" w:rsidRDefault="00332D8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Краткое наименование страны 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proofErr w:type="gramStart"/>
            <w:r w:rsidRPr="001E35F1">
              <w:rPr>
                <w:sz w:val="23"/>
                <w:szCs w:val="23"/>
              </w:rPr>
              <w:t>M</w:t>
            </w:r>
            <w:proofErr w:type="gramEnd"/>
            <w:r w:rsidRPr="001E35F1">
              <w:rPr>
                <w:sz w:val="23"/>
                <w:szCs w:val="23"/>
              </w:rPr>
              <w:t>К (ИСО 3166) 004-97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2D8D" w:rsidRDefault="00332D8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Код страны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  <w:t>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proofErr w:type="gramStart"/>
            <w:r w:rsidRPr="001E35F1">
              <w:rPr>
                <w:sz w:val="23"/>
                <w:szCs w:val="23"/>
              </w:rPr>
              <w:t>M</w:t>
            </w:r>
            <w:proofErr w:type="gramEnd"/>
            <w:r w:rsidRPr="001E35F1">
              <w:rPr>
                <w:sz w:val="23"/>
                <w:szCs w:val="23"/>
              </w:rPr>
              <w:t>К (ИСО 3166) 004-97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2D8D" w:rsidRDefault="00332D8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Сокращенное наименование национального органа государственного управления строительством</w:t>
            </w:r>
          </w:p>
        </w:tc>
      </w:tr>
      <w:tr w:rsidR="00332D8D" w:rsidTr="00332D8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2D8D" w:rsidRDefault="00332D8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Азербайджан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Армения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Казахстан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Киргизия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Российская Федерация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2D8D" w:rsidRPr="00332D8D" w:rsidRDefault="00332D8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 w:rsidRPr="00332D8D">
              <w:rPr>
                <w:color w:val="2D2D2D"/>
                <w:sz w:val="23"/>
                <w:szCs w:val="23"/>
                <w:lang w:val="en-US"/>
              </w:rPr>
              <w:t>AZ</w:t>
            </w:r>
            <w:r w:rsidRPr="00332D8D">
              <w:rPr>
                <w:color w:val="2D2D2D"/>
                <w:sz w:val="23"/>
                <w:szCs w:val="23"/>
                <w:lang w:val="en-US"/>
              </w:rPr>
              <w:br/>
            </w:r>
            <w:r w:rsidRPr="00332D8D">
              <w:rPr>
                <w:color w:val="2D2D2D"/>
                <w:sz w:val="23"/>
                <w:szCs w:val="23"/>
                <w:lang w:val="en-US"/>
              </w:rPr>
              <w:br/>
              <w:t>AM</w:t>
            </w:r>
            <w:r w:rsidRPr="00332D8D">
              <w:rPr>
                <w:color w:val="2D2D2D"/>
                <w:sz w:val="23"/>
                <w:szCs w:val="23"/>
                <w:lang w:val="en-US"/>
              </w:rPr>
              <w:br/>
            </w:r>
            <w:r w:rsidRPr="00332D8D">
              <w:rPr>
                <w:color w:val="2D2D2D"/>
                <w:sz w:val="23"/>
                <w:szCs w:val="23"/>
                <w:lang w:val="en-US"/>
              </w:rPr>
              <w:br/>
              <w:t>KZ</w:t>
            </w:r>
            <w:r w:rsidRPr="00332D8D">
              <w:rPr>
                <w:color w:val="2D2D2D"/>
                <w:sz w:val="23"/>
                <w:szCs w:val="23"/>
                <w:lang w:val="en-US"/>
              </w:rPr>
              <w:br/>
            </w:r>
            <w:r w:rsidRPr="00332D8D">
              <w:rPr>
                <w:color w:val="2D2D2D"/>
                <w:sz w:val="23"/>
                <w:szCs w:val="23"/>
                <w:lang w:val="en-US"/>
              </w:rPr>
              <w:br/>
            </w:r>
            <w:r w:rsidRPr="00332D8D">
              <w:rPr>
                <w:color w:val="2D2D2D"/>
                <w:sz w:val="23"/>
                <w:szCs w:val="23"/>
                <w:lang w:val="en-US"/>
              </w:rPr>
              <w:br/>
              <w:t>KG</w:t>
            </w:r>
            <w:r w:rsidRPr="00332D8D">
              <w:rPr>
                <w:color w:val="2D2D2D"/>
                <w:sz w:val="23"/>
                <w:szCs w:val="23"/>
                <w:lang w:val="en-US"/>
              </w:rPr>
              <w:br/>
            </w:r>
            <w:r w:rsidRPr="00332D8D">
              <w:rPr>
                <w:color w:val="2D2D2D"/>
                <w:sz w:val="23"/>
                <w:szCs w:val="23"/>
                <w:lang w:val="en-US"/>
              </w:rPr>
              <w:br/>
              <w:t>RU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2D8D" w:rsidRDefault="00332D8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Госстрой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Министерство градостроительства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Агентство по делам строительства и жилищно-коммунального хозяйства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Госстрой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Департамент регулирования градостроительной деятельности Министерства регионального развития</w:t>
            </w:r>
          </w:p>
        </w:tc>
      </w:tr>
    </w:tbl>
    <w:p w:rsidR="00332D8D" w:rsidRDefault="00332D8D" w:rsidP="00332D8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2D8D" w:rsidRDefault="00332D8D" w:rsidP="00332D8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1E35F1">
        <w:rPr>
          <w:rFonts w:ascii="Arial" w:hAnsi="Arial" w:cs="Arial"/>
          <w:spacing w:val="2"/>
          <w:sz w:val="23"/>
          <w:szCs w:val="23"/>
        </w:rPr>
        <w:t>Приказом Федерального агентства по техническому регулированию и метрологии от 1 декабря 2011 г. N 673-ст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межгосударственный стандарт ГОСТ 4640-2011 введен в действие в качестве национального стандарта Российской Федерации с 1 июля 2012 г.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2D8D" w:rsidRDefault="00332D8D" w:rsidP="00332D8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 ВЗАМЕН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1E35F1">
        <w:rPr>
          <w:rFonts w:ascii="Arial" w:hAnsi="Arial" w:cs="Arial"/>
          <w:spacing w:val="2"/>
          <w:sz w:val="23"/>
          <w:szCs w:val="23"/>
        </w:rPr>
        <w:t>ГОСТ 4640-93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Информация о введении в действие (прекращении действия) настоящего стандарта публикуется в указателе "Национальные стандарты".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Информация об изменениях к настоящему стандарту публикуется в указателе (каталоге) "Национальные стандарты", а текст изменений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в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информационных указателях "Национальные стандарты". В случае пересмотра или отмены настоящего стандарта соответствующая информация будет опубликована в информационном указателе "Национальные стандарты"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2D8D" w:rsidRDefault="00332D8D" w:rsidP="00332D8D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     1 Область применения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     </w:t>
      </w:r>
    </w:p>
    <w:p w:rsidR="00332D8D" w:rsidRDefault="00332D8D" w:rsidP="00332D8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Настоящий стандарт распространяется на минеральную вату, получаемую из расплава горных пород габбро-базальтовой группы и их аналогов, осадочных пород, вулканического шлака, металлургических шлаков, промышленных силикатных отходов и их смесей и предназначенную для изготовления теплоизоляционных, звукоизоляционных и звукопоглощающих изделий.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Минеральная вата может применяться в качестве теплоизоляционного материала в строительстве и промышленности для изоляции поверхностей с температурой от минус 180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°С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до плюс 700 °С (далее - товарная вата).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  <w:t>Настоящий стандарт устанавливает требования к минеральной вате, правила контроля качества минеральной ваты, предназначенной для изготовления теплоизоляционных изделий, правила приемки товарной ваты, методы испытаний, требования к транспортированию и хранению.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2D8D" w:rsidRDefault="00332D8D" w:rsidP="00332D8D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2 Нормативные ссылки</w:t>
      </w:r>
    </w:p>
    <w:p w:rsidR="00332D8D" w:rsidRDefault="00332D8D" w:rsidP="00332D8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В настоящем стандарте использованы ссылки на следующие стандарты: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1E35F1">
        <w:rPr>
          <w:rFonts w:ascii="Arial" w:hAnsi="Arial" w:cs="Arial"/>
          <w:spacing w:val="2"/>
          <w:sz w:val="23"/>
          <w:szCs w:val="23"/>
        </w:rPr>
        <w:t>ГОСТ 2642.3-97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Огнеупоры и огнеупорное сырье. Методы определения оксида кремния (IV)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1E35F1">
        <w:rPr>
          <w:rFonts w:ascii="Arial" w:hAnsi="Arial" w:cs="Arial"/>
          <w:spacing w:val="2"/>
          <w:sz w:val="23"/>
          <w:szCs w:val="23"/>
        </w:rPr>
        <w:t>ГОСТ 2642.4-97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Огнеупоры и огнеупорное сырье. Методы определения оксида алюминия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1E35F1">
        <w:rPr>
          <w:rFonts w:ascii="Arial" w:hAnsi="Arial" w:cs="Arial"/>
          <w:spacing w:val="2"/>
          <w:sz w:val="23"/>
          <w:szCs w:val="23"/>
        </w:rPr>
        <w:t>ГОСТ 2642.7-97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Огнеупоры и огнеупорное сырье. Методы определения оксида кальция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1E35F1">
        <w:rPr>
          <w:rFonts w:ascii="Arial" w:hAnsi="Arial" w:cs="Arial"/>
          <w:spacing w:val="2"/>
          <w:sz w:val="23"/>
          <w:szCs w:val="23"/>
        </w:rPr>
        <w:t>ГОСТ 2642.8-97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Огнеупоры и огнеупорное сырье. Методы определения оксида магния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1E35F1">
        <w:rPr>
          <w:rFonts w:ascii="Arial" w:hAnsi="Arial" w:cs="Arial"/>
          <w:spacing w:val="2"/>
          <w:sz w:val="23"/>
          <w:szCs w:val="23"/>
        </w:rPr>
        <w:t>ГОСТ 3118-77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Реактивы. Кислота соляная.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1E35F1">
        <w:rPr>
          <w:rFonts w:ascii="Arial" w:hAnsi="Arial" w:cs="Arial"/>
          <w:spacing w:val="2"/>
          <w:sz w:val="23"/>
          <w:szCs w:val="23"/>
        </w:rPr>
        <w:t>ГОСТ 6613-86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Сетки проволочные тканые с квадратными ячейками.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1E35F1">
        <w:rPr>
          <w:rFonts w:ascii="Arial" w:hAnsi="Arial" w:cs="Arial"/>
          <w:spacing w:val="2"/>
          <w:sz w:val="23"/>
          <w:szCs w:val="23"/>
        </w:rPr>
        <w:t>ГОСТ 7076-99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Материалы и изделия строительные. Метод определения теплопроводности и термического сопротивления при стационарном тепловом режиме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1E35F1">
        <w:rPr>
          <w:rFonts w:ascii="Arial" w:hAnsi="Arial" w:cs="Arial"/>
          <w:spacing w:val="2"/>
          <w:sz w:val="23"/>
          <w:szCs w:val="23"/>
        </w:rPr>
        <w:t>ГОСТ 9147-80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Посуда и оборудование лабораторные фарфоровые.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1E35F1">
        <w:rPr>
          <w:rFonts w:ascii="Arial" w:hAnsi="Arial" w:cs="Arial"/>
          <w:spacing w:val="2"/>
          <w:sz w:val="23"/>
          <w:szCs w:val="23"/>
        </w:rPr>
        <w:t>ГОСТ 14192-96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Маркировка грузов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1E35F1">
        <w:rPr>
          <w:rFonts w:ascii="Arial" w:hAnsi="Arial" w:cs="Arial"/>
          <w:spacing w:val="2"/>
          <w:sz w:val="23"/>
          <w:szCs w:val="23"/>
        </w:rPr>
        <w:t>ГОСТ 17177-94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Материалы и изделия строительные теплоизоляционные. Методы испытаний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1E35F1">
        <w:rPr>
          <w:rFonts w:ascii="Arial" w:hAnsi="Arial" w:cs="Arial"/>
          <w:spacing w:val="2"/>
          <w:sz w:val="23"/>
          <w:szCs w:val="23"/>
        </w:rPr>
        <w:t>ГОСТ 18300-87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Спирт этиловый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ректификованный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технический.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1E35F1">
        <w:rPr>
          <w:rFonts w:ascii="Arial" w:hAnsi="Arial" w:cs="Arial"/>
          <w:spacing w:val="2"/>
          <w:sz w:val="23"/>
          <w:szCs w:val="23"/>
        </w:rPr>
        <w:t>ГОСТ 18866-93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Щебень из доменного шлака для производства минеральной ваты.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1E35F1">
        <w:rPr>
          <w:rFonts w:ascii="Arial" w:hAnsi="Arial" w:cs="Arial"/>
          <w:spacing w:val="2"/>
          <w:sz w:val="23"/>
          <w:szCs w:val="23"/>
        </w:rPr>
        <w:t>ГОСТ 24597-81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Пакеты тарно-штучных грузов. Основные параметры и размеры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1E35F1">
        <w:rPr>
          <w:rFonts w:ascii="Arial" w:hAnsi="Arial" w:cs="Arial"/>
          <w:spacing w:val="2"/>
          <w:sz w:val="23"/>
          <w:szCs w:val="23"/>
        </w:rPr>
        <w:t>ГОСТ 25336-82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Посуда и оборудование лабораторные стеклянные. Типы, основные параметры и размеры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</w:r>
      <w:r w:rsidRPr="001E35F1">
        <w:rPr>
          <w:rFonts w:ascii="Arial" w:hAnsi="Arial" w:cs="Arial"/>
          <w:spacing w:val="2"/>
          <w:sz w:val="23"/>
          <w:szCs w:val="23"/>
        </w:rPr>
        <w:t>ГОСТ 25951-83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Пленка полиэтиленовая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термоусадочная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1E35F1">
        <w:rPr>
          <w:rFonts w:ascii="Arial" w:hAnsi="Arial" w:cs="Arial"/>
          <w:spacing w:val="2"/>
          <w:sz w:val="23"/>
          <w:szCs w:val="23"/>
        </w:rPr>
        <w:t>ГОСТ 26281-84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Материалы и изделия строительные теплоизоляционные. Правила приемки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1E35F1">
        <w:rPr>
          <w:rFonts w:ascii="Arial" w:hAnsi="Arial" w:cs="Arial"/>
          <w:spacing w:val="2"/>
          <w:sz w:val="23"/>
          <w:szCs w:val="23"/>
        </w:rPr>
        <w:t>ГОСТ 30108-94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Материалы и изделия строительные. Определение удельной эффективной активности естественных радионуклидов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1E35F1">
        <w:rPr>
          <w:rFonts w:ascii="Arial" w:hAnsi="Arial" w:cs="Arial"/>
          <w:spacing w:val="2"/>
          <w:sz w:val="23"/>
          <w:szCs w:val="23"/>
        </w:rPr>
        <w:t>ГОСТ 30244-94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Материалы строительные.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Методы испытаний на горючесть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Примечание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"Национальные стандарты", который опубликован по состоянию на 1 января текущего года и по соответствующим ежемесячно издаваемым информационным указателям, опубликованным в текущем году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.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2D8D" w:rsidRDefault="00332D8D" w:rsidP="00332D8D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3 Термины и определения</w:t>
      </w:r>
    </w:p>
    <w:p w:rsidR="00332D8D" w:rsidRDefault="00332D8D" w:rsidP="00332D8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В настоящем стандарте применены следующие термины с соответствующими определениями: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2D8D" w:rsidRDefault="00332D8D" w:rsidP="00332D8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минеральная вата: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Теплоизоляционный материал, имеющий структуру ваты и изготовленный из расплава горной породы, шлака или стекла.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2D8D" w:rsidRDefault="00332D8D" w:rsidP="00332D8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теплоизоляционное изделие: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Теплоизоляционный материал в виде готового изделия, включающего в себя любые облицовки, обкладки или покрытия.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2D8D" w:rsidRDefault="00332D8D" w:rsidP="00332D8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3.3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облицовка: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Жесткий, полужесткий, часто готовый листовой материал, который обеспечивает механическую защиту и/или защиту от воздействия окружающей среды или применяется в качестве декоративной отделки теплоизоляции.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2D8D" w:rsidRDefault="00332D8D" w:rsidP="00332D8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3.4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обкладка: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Функциональный или декоративный материал, наносимый на поверхность, например, бумага, полимерная пленка, сетка, ткань или металлическая фольга.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2D8D" w:rsidRDefault="00332D8D" w:rsidP="00332D8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3.5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покрытие: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Функциональный или декоративный поверхностный слой, наносимый путем окрашивания, напыления, заливки или оштукатуривания.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2D8D" w:rsidRDefault="00332D8D" w:rsidP="00332D8D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4 Технические требования</w:t>
      </w:r>
    </w:p>
    <w:p w:rsidR="00332D8D" w:rsidRDefault="00332D8D" w:rsidP="00332D8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 Минеральная вата (далее - вата) должна соответствовать требованиям настоящего стандарта и изготавливаться по технологической документации, утвержденной предприятием-изготовителем.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2D8D" w:rsidRDefault="00332D8D" w:rsidP="00332D8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4.2 Вату в зависимости от плотности изготавливают марок: ВМ-35, ВМ-50, ВМ-70.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2D8D" w:rsidRDefault="00332D8D" w:rsidP="00332D8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4.3 Условное обозначение ваты должно состоять из ее наименования, обозначения марки в соответствии с 4.2 и обозначения настоящего стандарта.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Пример условного обозначения минеральной ваты марки ВМ-35 в технической документации и при заказе: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2D8D" w:rsidRDefault="00332D8D" w:rsidP="00332D8D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Вата минеральная ВМ-35 ГОСТ 4640-2011</w:t>
      </w:r>
    </w:p>
    <w:p w:rsidR="00332D8D" w:rsidRDefault="00332D8D" w:rsidP="00332D8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4.4 Характеристики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2D8D" w:rsidRDefault="00332D8D" w:rsidP="00332D8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4.4.1 Вата по физико-механическим и теплофизическим показателям должна соответствовать требованиям, приведенным в таблице 1.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1 - Физико-механические и теплофизические показатели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300"/>
        <w:gridCol w:w="903"/>
        <w:gridCol w:w="1072"/>
        <w:gridCol w:w="1072"/>
      </w:tblGrid>
      <w:tr w:rsidR="00332D8D" w:rsidTr="00332D8D">
        <w:trPr>
          <w:trHeight w:val="15"/>
        </w:trPr>
        <w:tc>
          <w:tcPr>
            <w:tcW w:w="7762" w:type="dxa"/>
            <w:hideMark/>
          </w:tcPr>
          <w:p w:rsidR="00332D8D" w:rsidRDefault="00332D8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332D8D" w:rsidRDefault="00332D8D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332D8D" w:rsidRDefault="00332D8D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332D8D" w:rsidRDefault="00332D8D">
            <w:pPr>
              <w:rPr>
                <w:sz w:val="2"/>
                <w:szCs w:val="24"/>
              </w:rPr>
            </w:pPr>
          </w:p>
        </w:tc>
      </w:tr>
      <w:tr w:rsidR="00332D8D" w:rsidTr="00332D8D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2D8D" w:rsidRDefault="00332D8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2D8D" w:rsidRDefault="00332D8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Значение показателя для марки</w:t>
            </w:r>
          </w:p>
        </w:tc>
      </w:tr>
      <w:tr w:rsidR="00332D8D" w:rsidTr="00332D8D"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2D8D" w:rsidRDefault="00332D8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2D8D" w:rsidRDefault="00332D8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ВМ-35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2D8D" w:rsidRDefault="00332D8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ВМ-50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2D8D" w:rsidRDefault="00332D8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ВМ-70</w:t>
            </w:r>
          </w:p>
        </w:tc>
      </w:tr>
      <w:tr w:rsidR="00332D8D" w:rsidTr="00332D8D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2D8D" w:rsidRDefault="00332D8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Плотность, </w:t>
            </w:r>
            <w:proofErr w:type="gramStart"/>
            <w:r>
              <w:rPr>
                <w:color w:val="2D2D2D"/>
                <w:sz w:val="23"/>
                <w:szCs w:val="23"/>
              </w:rPr>
              <w:t>кг</w:t>
            </w:r>
            <w:proofErr w:type="gramEnd"/>
            <w:r>
              <w:rPr>
                <w:color w:val="2D2D2D"/>
                <w:sz w:val="23"/>
                <w:szCs w:val="23"/>
              </w:rPr>
              <w:t>/м</w:t>
            </w:r>
            <w:r w:rsidR="002E1B1A" w:rsidRPr="002E1B1A">
              <w:rPr>
                <w:color w:val="2D2D2D"/>
                <w:sz w:val="23"/>
                <w:szCs w:val="23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ГОСТ 4640-2011 Вата минеральная. Технические условия" style="width:8.35pt;height:17.6pt"/>
              </w:pict>
            </w:r>
            <w:r>
              <w:rPr>
                <w:color w:val="2D2D2D"/>
                <w:sz w:val="23"/>
                <w:szCs w:val="23"/>
              </w:rPr>
              <w:t>, не более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2D8D" w:rsidRDefault="00332D8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2D8D" w:rsidRDefault="00332D8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2D8D" w:rsidRDefault="00332D8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</w:t>
            </w:r>
          </w:p>
        </w:tc>
      </w:tr>
      <w:tr w:rsidR="00332D8D" w:rsidTr="00332D8D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2D8D" w:rsidRDefault="00332D8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Модуль кислотности, не менее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2D8D" w:rsidRDefault="00332D8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2D8D" w:rsidRDefault="00332D8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2D8D" w:rsidRDefault="00332D8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1,4</w:t>
            </w:r>
          </w:p>
        </w:tc>
      </w:tr>
      <w:tr w:rsidR="00332D8D" w:rsidTr="00332D8D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2D8D" w:rsidRDefault="00332D8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Водостойкость, </w:t>
            </w:r>
            <w:proofErr w:type="spellStart"/>
            <w:r>
              <w:rPr>
                <w:color w:val="2D2D2D"/>
                <w:sz w:val="23"/>
                <w:szCs w:val="23"/>
              </w:rPr>
              <w:t>рН</w:t>
            </w:r>
            <w:proofErr w:type="spellEnd"/>
            <w:r>
              <w:rPr>
                <w:color w:val="2D2D2D"/>
                <w:sz w:val="23"/>
                <w:szCs w:val="23"/>
              </w:rPr>
              <w:t>, не более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2D8D" w:rsidRDefault="00332D8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2D8D" w:rsidRDefault="00332D8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2D8D" w:rsidRDefault="00332D8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4,0</w:t>
            </w:r>
          </w:p>
        </w:tc>
      </w:tr>
      <w:tr w:rsidR="00332D8D" w:rsidTr="00332D8D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2D8D" w:rsidRDefault="00332D8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Средний диаметр волокна, </w:t>
            </w:r>
            <w:proofErr w:type="gramStart"/>
            <w:r>
              <w:rPr>
                <w:color w:val="2D2D2D"/>
                <w:sz w:val="23"/>
                <w:szCs w:val="23"/>
              </w:rPr>
              <w:t>мкм</w:t>
            </w:r>
            <w:proofErr w:type="gramEnd"/>
            <w:r>
              <w:rPr>
                <w:color w:val="2D2D2D"/>
                <w:sz w:val="23"/>
                <w:szCs w:val="23"/>
              </w:rPr>
              <w:t>, не более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2D8D" w:rsidRDefault="00332D8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2D8D" w:rsidRDefault="00332D8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2D8D" w:rsidRDefault="00332D8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</w:tr>
      <w:tr w:rsidR="00332D8D" w:rsidTr="00332D8D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2D8D" w:rsidRDefault="00332D8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Содержание </w:t>
            </w:r>
            <w:proofErr w:type="spellStart"/>
            <w:r>
              <w:rPr>
                <w:color w:val="2D2D2D"/>
                <w:sz w:val="23"/>
                <w:szCs w:val="23"/>
              </w:rPr>
              <w:t>неволокнистых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включений размером св. 0,25 мм, % по массе, не более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2D8D" w:rsidRDefault="00332D8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2D8D" w:rsidRDefault="00332D8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2D8D" w:rsidRDefault="00332D8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</w:tr>
      <w:tr w:rsidR="00332D8D" w:rsidTr="00332D8D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2D8D" w:rsidRDefault="00332D8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Теплопроводность*, </w:t>
            </w:r>
            <w:proofErr w:type="gramStart"/>
            <w:r>
              <w:rPr>
                <w:color w:val="2D2D2D"/>
                <w:sz w:val="23"/>
                <w:szCs w:val="23"/>
              </w:rPr>
              <w:t>Вт</w:t>
            </w:r>
            <w:proofErr w:type="gramEnd"/>
            <w:r>
              <w:rPr>
                <w:color w:val="2D2D2D"/>
                <w:sz w:val="23"/>
                <w:szCs w:val="23"/>
              </w:rPr>
              <w:t>/(м·К), не более, при температуре: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2D8D" w:rsidRDefault="00332D8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2D8D" w:rsidRDefault="00332D8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2D8D" w:rsidRDefault="00332D8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332D8D" w:rsidTr="00332D8D"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2D8D" w:rsidRDefault="00332D8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283</w:t>
            </w:r>
            <w:proofErr w:type="gramStart"/>
            <w:r>
              <w:rPr>
                <w:color w:val="2D2D2D"/>
                <w:sz w:val="23"/>
                <w:szCs w:val="23"/>
              </w:rPr>
              <w:t xml:space="preserve"> К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(10 °С)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2D8D" w:rsidRDefault="00332D8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0,038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2D8D" w:rsidRDefault="00332D8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0,037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2D8D" w:rsidRDefault="00332D8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0,036</w:t>
            </w:r>
          </w:p>
        </w:tc>
      </w:tr>
      <w:tr w:rsidR="00332D8D" w:rsidTr="00332D8D"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2D8D" w:rsidRDefault="00332D8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298</w:t>
            </w:r>
            <w:proofErr w:type="gramStart"/>
            <w:r>
              <w:rPr>
                <w:color w:val="2D2D2D"/>
                <w:sz w:val="23"/>
                <w:szCs w:val="23"/>
              </w:rPr>
              <w:t xml:space="preserve"> К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(25 °С)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2D8D" w:rsidRDefault="00332D8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0,040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2D8D" w:rsidRDefault="00332D8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0,039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2D8D" w:rsidRDefault="00332D8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0,038</w:t>
            </w:r>
          </w:p>
        </w:tc>
      </w:tr>
      <w:tr w:rsidR="00332D8D" w:rsidTr="00332D8D"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2D8D" w:rsidRDefault="00332D8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398</w:t>
            </w:r>
            <w:proofErr w:type="gramStart"/>
            <w:r>
              <w:rPr>
                <w:color w:val="2D2D2D"/>
                <w:sz w:val="23"/>
                <w:szCs w:val="23"/>
              </w:rPr>
              <w:t xml:space="preserve"> К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(125 °С)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2D8D" w:rsidRDefault="00332D8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0,070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2D8D" w:rsidRDefault="00332D8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0,065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2D8D" w:rsidRDefault="00332D8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0,050</w:t>
            </w:r>
          </w:p>
        </w:tc>
      </w:tr>
      <w:tr w:rsidR="00332D8D" w:rsidTr="00332D8D"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2D8D" w:rsidRDefault="00332D8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573</w:t>
            </w:r>
            <w:proofErr w:type="gramStart"/>
            <w:r>
              <w:rPr>
                <w:color w:val="2D2D2D"/>
                <w:sz w:val="23"/>
                <w:szCs w:val="23"/>
              </w:rPr>
              <w:t xml:space="preserve"> К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(300 °С)**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2D8D" w:rsidRDefault="00332D8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2D8D" w:rsidRDefault="00332D8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2D8D" w:rsidRDefault="00332D8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0,120</w:t>
            </w:r>
          </w:p>
        </w:tc>
      </w:tr>
      <w:tr w:rsidR="00332D8D" w:rsidTr="00332D8D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2D8D" w:rsidRDefault="00332D8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Влажность, % по массе, не более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2D8D" w:rsidRDefault="00332D8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2D8D" w:rsidRDefault="00332D8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2D8D" w:rsidRDefault="00332D8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</w:t>
            </w:r>
          </w:p>
        </w:tc>
      </w:tr>
      <w:tr w:rsidR="00332D8D" w:rsidTr="00332D8D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2D8D" w:rsidRDefault="00332D8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Содержание органических веществ, % по массе, не более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2D8D" w:rsidRDefault="00332D8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2D8D" w:rsidRDefault="00332D8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2D8D" w:rsidRDefault="00332D8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</w:t>
            </w:r>
          </w:p>
        </w:tc>
      </w:tr>
      <w:tr w:rsidR="00332D8D" w:rsidTr="00332D8D">
        <w:tc>
          <w:tcPr>
            <w:tcW w:w="109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2D8D" w:rsidRDefault="00332D8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* Определяют для товарной ваты.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** Определяют методом экстраполяции.</w:t>
            </w:r>
          </w:p>
        </w:tc>
      </w:tr>
    </w:tbl>
    <w:p w:rsidR="00332D8D" w:rsidRDefault="00332D8D" w:rsidP="00332D8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4.4.2 Удельная эффективная активность естественных радионуклидов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2E1B1A" w:rsidRPr="002E1B1A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26" type="#_x0000_t75" alt="ГОСТ 4640-2011 Вата минеральная. Технические условия" style="width:26.8pt;height:18.4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в вате не должна превышать предельных значений, установленных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1E35F1">
        <w:rPr>
          <w:rFonts w:ascii="Arial" w:hAnsi="Arial" w:cs="Arial"/>
          <w:spacing w:val="2"/>
          <w:sz w:val="23"/>
          <w:szCs w:val="23"/>
        </w:rPr>
        <w:t>ГОСТ 30108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2D8D" w:rsidRDefault="00332D8D" w:rsidP="00332D8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4.4.3 Вата относится к группе негорючих материалов (группа НГ). Группу горючести не определяют для ваты, применяемой для изготовления теплоизоляционных изделий.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2D8D" w:rsidRDefault="00332D8D" w:rsidP="00332D8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4.5 Требования к сырью и материалам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2D8D" w:rsidRDefault="00332D8D" w:rsidP="00332D8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4.5.1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Д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ля изготовления ваты применяют горные породы габбро-базальтовой группы и их аналоги, осадочные породы, вулканические шлаки, промышленные отходы, в том числе щебень из доменного шлака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1E35F1">
        <w:rPr>
          <w:rFonts w:ascii="Arial" w:hAnsi="Arial" w:cs="Arial"/>
          <w:spacing w:val="2"/>
          <w:sz w:val="23"/>
          <w:szCs w:val="23"/>
        </w:rPr>
        <w:t>ГОСТ 18866</w:t>
      </w:r>
      <w:r>
        <w:rPr>
          <w:rFonts w:ascii="Arial" w:hAnsi="Arial" w:cs="Arial"/>
          <w:color w:val="2D2D2D"/>
          <w:spacing w:val="2"/>
          <w:sz w:val="23"/>
          <w:szCs w:val="23"/>
        </w:rPr>
        <w:t>, а также смеси указанных компонентов, обеспечивающие получение ваты в соответствии с требованиями настоящего стандарта и согласованные с органами санитарно-эпидемиологического надзора.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2D8D" w:rsidRDefault="00332D8D" w:rsidP="00332D8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4.5.2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качестве обеспыливающей добавки применяют водные эмульсии индустриальных масел и мазута по действующим нормативным документам, согласованные с органами санитарно-эпидемиологического надзора.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Допускается применение других обеспыливающих добавок при согласовании с органами санитарно-эпидемиологического надзора.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2D8D" w:rsidRDefault="00332D8D" w:rsidP="00332D8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4.6 Упаковка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2D8D" w:rsidRDefault="00332D8D" w:rsidP="00332D8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4.6.1 Товарная вата должна быть упакована в полиэтиленовую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термоусадочную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пленку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1E35F1">
        <w:rPr>
          <w:rFonts w:ascii="Arial" w:hAnsi="Arial" w:cs="Arial"/>
          <w:spacing w:val="2"/>
          <w:sz w:val="23"/>
          <w:szCs w:val="23"/>
        </w:rPr>
        <w:t>ГОСТ 25951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или полиэтиленовые мешки для обеспечения ее сохранности при хранении, транспортировании и погрузочно-разгрузочных работах. Нарушение целостности упаковки не допускается.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По согласованию с потребителем допускается применять другие виды упаковочных материалов, обеспечивающие сохранность ваты при хранении и транспортировании.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Вату перед упаковыванием сворачивают в рулон диаметром не более 700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2D8D" w:rsidRDefault="00332D8D" w:rsidP="00332D8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4.6.2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К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аждое упаковочное место (рулон ваты, упакованный в полиэтиленовую пленку или полиэтиленовый мешок) должно содержать вату одной марки.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2D8D" w:rsidRDefault="00332D8D" w:rsidP="00332D8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4.6.3 Упакованная вата одной марки может поставляться в виде транспортных пакетов. Габариты транспортных пакетов, пригодных для перевозки всеми видами транспорта, должны соответствовать требованиям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1E35F1">
        <w:rPr>
          <w:rFonts w:ascii="Arial" w:hAnsi="Arial" w:cs="Arial"/>
          <w:spacing w:val="2"/>
          <w:sz w:val="23"/>
          <w:szCs w:val="23"/>
        </w:rPr>
        <w:t>ГОСТ 24597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2D8D" w:rsidRDefault="00332D8D" w:rsidP="00332D8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4.6.4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ри формировании транспортного пакета упакованную вату укладывают на поддон и обтягивают чехлом из полиэтиленовой пленки.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2D8D" w:rsidRDefault="00332D8D" w:rsidP="00332D8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4.7 Маркировка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2D8D" w:rsidRDefault="00332D8D" w:rsidP="00332D8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4.7.1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К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аждое упакованное место с товарной ватой должно иметь четкую маркировку, нанесенную на этикетку, прикрепленную к упаковке, или непосредственно на упаковку.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Маркировка должна содержать: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условное обозначение материала;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наименование и адрес предприятия-изготовителя;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дату изготовления;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группу горючести;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- количество ваты в упаковке (транспортном пакете),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</w:t>
      </w:r>
      <w:proofErr w:type="gramEnd"/>
      <w:r w:rsidR="002E1B1A" w:rsidRPr="002E1B1A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27" type="#_x0000_t75" alt="ГОСТ 4640-2011 Вата минеральная. Технические условия" style="width:8.3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обозначение настоящего стандарта.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2D8D" w:rsidRDefault="00332D8D" w:rsidP="00332D8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4.7.2 Транспортная маркировка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1E35F1">
        <w:rPr>
          <w:rFonts w:ascii="Arial" w:hAnsi="Arial" w:cs="Arial"/>
          <w:spacing w:val="2"/>
          <w:sz w:val="23"/>
          <w:szCs w:val="23"/>
        </w:rPr>
        <w:t>ГОСТ 14192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2D8D" w:rsidRDefault="00332D8D" w:rsidP="00332D8D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5 Требования безопасности и охраны окружающей среды</w:t>
      </w:r>
    </w:p>
    <w:p w:rsidR="00332D8D" w:rsidRDefault="00332D8D" w:rsidP="00332D8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5.1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ри работе с ватой вредными производственными факторами являются пыль минерального волокна и летучие компоненты органических веществ (пары углеводородов), входящих в рецептуру.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2D8D" w:rsidRDefault="00332D8D" w:rsidP="00332D8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5.2 Содержание вредных веществ, выделяющихся из ваты при ее применении в воздух рабочей зоны и атмосферу, не должно превышать среднесуточных предельно допустимых концентраций (ПДК) для атмосферного воздуха в соответствии с гигиеническими нормами,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установленными органами санитарно-эпидемиологического надзора.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 совместном присутствии в атмосферном воздухе нескольких вредных веществ однонаправленного действия сумма отношений фактических концентраций каждого вещества и их ПДК (суммарный показатель) не должна превышать единицы.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2D8D" w:rsidRDefault="00332D8D" w:rsidP="00332D8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5.3 Помещения, в которых проводят работы с ватой, должны быть обеспечены приточно-вытяжной вентиляцией.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Весь работающий персонал должен быть обеспечен индивидуальными средствами защиты органов дыхания и кожных покровов.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2D8D" w:rsidRDefault="00332D8D" w:rsidP="00332D8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5.4 Класс опасности отходов, образующихся при производстве ваты, устанавливают в соответствии с действующими санитарными правилами.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Отходы утилизируют в соответствии с требованиями санитарных норм и правил.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Отходы могут также использоваться как компоненты сырья в виде добавок.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2D8D" w:rsidRDefault="00332D8D" w:rsidP="00332D8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5.5 Комплекс природоохранных мероприятий должен быть установлен в технологической документации предприятия-изготовителя, согласованной с природоохранными органами.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2D8D" w:rsidRDefault="00332D8D" w:rsidP="00332D8D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6 Контроль и оценка соответствия</w:t>
      </w:r>
    </w:p>
    <w:p w:rsidR="00332D8D" w:rsidRDefault="00332D8D" w:rsidP="00332D8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6.1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Д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ля изготовления ваты, соответствующей требованиям настоящего стандарта, должен проводиться постоянный внутренний контроль производственного процесса, включая контроль качества ваты, осуществляемый предприятием-изготовителем.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2D8D" w:rsidRDefault="00332D8D" w:rsidP="00332D8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6.2 Контроль качества ваты, применяемой для изготовления изделий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2D8D" w:rsidRDefault="00332D8D" w:rsidP="00332D8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6.2.1 Контроль качества ваты, применяемой для изготовления изделий, осуществляют в соответствии с правилами, установленными в технологической документации, утвержденной предприятием-изготовителем, и требованиями настоящего стандарта.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2D8D" w:rsidRDefault="00332D8D" w:rsidP="00332D8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6.2.2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ри контроле качества ваты, применяемой для изготовления изделий, определяют плотность, модуль кислотности, водостойкость, средний диаметр волокна, содержание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неволокнистых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включений.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2D8D" w:rsidRDefault="00332D8D" w:rsidP="00332D8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6.2.3 Плотность, средний диаметр волокна и содержание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неволокнистых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включений определяют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ежесменно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  <w:t>Модуль кислотности и водостойкость определяют не реже одного раза в год и при каждом изменении сырья и/или технологии изготовления ваты.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2D8D" w:rsidRDefault="00332D8D" w:rsidP="00332D8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6.2.4 Контроль качества ваты, применяемой для изготовления изделий, проводят на технологической линии. Для контроля из произвольно выбранных мест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минераловатного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ковра непосредственно на конвейере отбирают точечные пробы. Из отобранных проб составляют объединенную пробу для испытания массой не менее 1,5 кг. Объединенная проба должна храниться в отдельной емкости, исключающей ее загрязнение и увлажнение.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2D8D" w:rsidRDefault="00332D8D" w:rsidP="00332D8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6.3 Приемка товарной ваты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2D8D" w:rsidRDefault="00332D8D" w:rsidP="00332D8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6.3.1 Приемку товарной ваты проводят в соответствии с требованиями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1E35F1">
        <w:rPr>
          <w:rFonts w:ascii="Arial" w:hAnsi="Arial" w:cs="Arial"/>
          <w:spacing w:val="2"/>
          <w:sz w:val="23"/>
          <w:szCs w:val="23"/>
        </w:rPr>
        <w:t>ГОСТ 26281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 настоящего стандарта.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2D8D" w:rsidRDefault="00332D8D" w:rsidP="00332D8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6.3.2 Объем партии ваты не должен превышать сменной выработки.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2D8D" w:rsidRDefault="00332D8D" w:rsidP="00332D8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6.3.3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О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т каждого упакованного места, попавшего в выборку, произвольным образом отбирают точечные пробы для испытания массой не менее 0,5 кг каждая.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2D8D" w:rsidRDefault="00332D8D" w:rsidP="00332D8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6.3.4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Д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о начала испытаний каждую точечную пробу помещают в отдельную емкость, исключающую ее загрязнение и увлажнение.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2D8D" w:rsidRDefault="00332D8D" w:rsidP="00332D8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6.3.5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Д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ля каждой партии товарной ваты определяют содержание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неволокнистых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включений, плотность, влажность, средний диаметр волокна и содержание органических веществ.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2D8D" w:rsidRDefault="00332D8D" w:rsidP="00332D8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6.3.6 Водостойкость, модуль кислотности и теплопроводность определяют не реже одного раза в год и при каждом изменении сырья и/или технологии изготовления ваты.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2D8D" w:rsidRDefault="00332D8D" w:rsidP="00332D8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6.4 Группу горючести товарной ваты определяют при постановке продукции на производство, получении пожарного сертификата и при каждом изменении сырья и/или технологии изготовления ваты.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2D8D" w:rsidRDefault="00332D8D" w:rsidP="00332D8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6.5 Содержание вредных веществ, выделяющихся из ваты, и удельную эффективную активность естественных радионуклидов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2E1B1A" w:rsidRPr="002E1B1A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28" type="#_x0000_t75" alt="ГОСТ 4640-2011 Вата минеральная. Технические условия" style="width:26.8pt;height:18.4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определяют не реже одного раза в год при получении гигиенического сертификата и при каждом изменении сырья и/или технологии производства.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Радиационно-гигиеническую оценку допускается проводить на основании паспортных данных поставщиков сырья, применяемого для изготовления ваты.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При отсутствии данных поставщика о содержании естественных радионуклидов в сырье изготовитель не реже одного раза в год, а также при каждой смене поставщика определяет содержание естественных радионуклидов в сырье и/или вате.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2D8D" w:rsidRDefault="00332D8D" w:rsidP="00332D8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6.6 Изготовитель вправе устанавливать иные сроки проведения периодических испытаний, но не реже указанных в настоящем стандарте.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2D8D" w:rsidRDefault="00332D8D" w:rsidP="00332D8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6.7 Принятую партию товарной ваты оформляют документом о качестве, в котором указывают: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наименование предприятия-изготовителя и/или его товарный знак;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наименование и марку ваты;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номер партии и дату изготовления;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- количество ваты в партии,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</w:t>
      </w:r>
      <w:proofErr w:type="gramEnd"/>
      <w:r w:rsidR="002E1B1A" w:rsidRPr="002E1B1A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29" type="#_x0000_t75" alt="ГОСТ 4640-2011 Вата минеральная. Технические условия" style="width:8.3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результаты испытаний;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сведения о горючести;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удельную эффективную активность естественных радионуклидов;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сведения о санитарно-гигиенической безопасности;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обозначение настоящего стандарта.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2D8D" w:rsidRDefault="00332D8D" w:rsidP="00332D8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6.8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документе о качестве указывают результаты испытаний, рассчитанные как среднеарифметические значения результатов испытания точечных проб, отобранных в соответствии с 6.3.3, соответствующих требованиям настоящего стандарта.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2D8D" w:rsidRDefault="00332D8D" w:rsidP="00332D8D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7 Методы испытаний</w:t>
      </w:r>
    </w:p>
    <w:p w:rsidR="00332D8D" w:rsidRDefault="00332D8D" w:rsidP="00332D8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7.1 Общие требования к проведению испытаний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1E35F1">
        <w:rPr>
          <w:rFonts w:ascii="Arial" w:hAnsi="Arial" w:cs="Arial"/>
          <w:spacing w:val="2"/>
          <w:sz w:val="23"/>
          <w:szCs w:val="23"/>
        </w:rPr>
        <w:t>ГОСТ 17177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2D8D" w:rsidRDefault="00332D8D" w:rsidP="00332D8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7.2 Определение модуля кислотности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2D8D" w:rsidRDefault="00332D8D" w:rsidP="00332D8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7.2.1 Модуль кислотности ваты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2E1B1A" w:rsidRPr="002E1B1A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0" type="#_x0000_t75" alt="ГОСТ 4640-2011 Вата минеральная. Технические условия" style="width:20.9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рассчитывают на основании результатов химического анализа по формуле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2D8D" w:rsidRDefault="00332D8D" w:rsidP="00332D8D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1360805" cy="425450"/>
            <wp:effectExtent l="19050" t="0" r="0" b="0"/>
            <wp:docPr id="7" name="Рисунок 7" descr="ГОСТ 4640-2011 Вата минеральная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ОСТ 4640-2011 Вата минеральная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42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(1)</w:t>
      </w:r>
    </w:p>
    <w:p w:rsidR="00332D8D" w:rsidRDefault="00332D8D" w:rsidP="00332D8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где в числителе - суммарное содержание оксидов кремния и алюминия, % по массе;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 знаменателе - суммарное содержание оксидов кальция и магния, % по массе.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Химический анализ проводят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1E35F1">
        <w:rPr>
          <w:rFonts w:ascii="Arial" w:hAnsi="Arial" w:cs="Arial"/>
          <w:spacing w:val="2"/>
          <w:sz w:val="23"/>
          <w:szCs w:val="23"/>
        </w:rPr>
        <w:t>ГОСТ 2642.3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1E35F1">
        <w:rPr>
          <w:rFonts w:ascii="Arial" w:hAnsi="Arial" w:cs="Arial"/>
          <w:spacing w:val="2"/>
          <w:sz w:val="23"/>
          <w:szCs w:val="23"/>
        </w:rPr>
        <w:t>ГОСТ 2642.4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1E35F1">
        <w:rPr>
          <w:rFonts w:ascii="Arial" w:hAnsi="Arial" w:cs="Arial"/>
          <w:spacing w:val="2"/>
          <w:sz w:val="23"/>
          <w:szCs w:val="23"/>
        </w:rPr>
        <w:t>ГОСТ 2642.7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1E35F1">
        <w:rPr>
          <w:rFonts w:ascii="Arial" w:hAnsi="Arial" w:cs="Arial"/>
          <w:spacing w:val="2"/>
          <w:sz w:val="23"/>
          <w:szCs w:val="23"/>
        </w:rPr>
        <w:t>ГОСТ 2642.8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2D8D" w:rsidRDefault="00332D8D" w:rsidP="00332D8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7.2.2 Модуль кислотности ваты определяют и записывают для каждой точечной пробы, отобранной по 6.3.3, или для двух проб, отобранных из объединенной пробы, сформированной по 6.2.4.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2D8D" w:rsidRDefault="00332D8D" w:rsidP="00332D8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7.2.3 Модуль кислотности ваты вычисляют как среднеарифметическое значение результатов параллельных испытаний.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2D8D" w:rsidRDefault="00332D8D" w:rsidP="00332D8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7.3 Определение водостойкости (</w:t>
      </w:r>
      <w:proofErr w:type="spellStart"/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рН</w:t>
      </w:r>
      <w:proofErr w:type="spellEnd"/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2D8D" w:rsidRDefault="00332D8D" w:rsidP="00332D8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7.3.1 Аппаратура, оборудование, реактивы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Камерная электропечь, обеспечивающая температуру нагрева до 600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°С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 автоматическое регулирование температуры с пределом допускаемой погрешности ±10 °С.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Весы с пределом допускаемой погрешности ±0,001 г.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Электромеханическая или электромагнитная мешалка.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Песочные часы (10-минутные) или другого типа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spellStart"/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р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Н-метр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Выпарительная чашка вместимостью 100 мл или фарфоровый тигель N 5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1E35F1">
        <w:rPr>
          <w:rFonts w:ascii="Arial" w:hAnsi="Arial" w:cs="Arial"/>
          <w:spacing w:val="2"/>
          <w:sz w:val="23"/>
          <w:szCs w:val="23"/>
        </w:rPr>
        <w:t>ГОСТ 9147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Фарфоровая ступка N 5 с пестиком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1E35F1">
        <w:rPr>
          <w:rFonts w:ascii="Arial" w:hAnsi="Arial" w:cs="Arial"/>
          <w:spacing w:val="2"/>
          <w:sz w:val="23"/>
          <w:szCs w:val="23"/>
        </w:rPr>
        <w:t>ГОСТ 9147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Лабораторный стакан вместимостью 150 мл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1E35F1">
        <w:rPr>
          <w:rFonts w:ascii="Arial" w:hAnsi="Arial" w:cs="Arial"/>
          <w:spacing w:val="2"/>
          <w:sz w:val="23"/>
          <w:szCs w:val="23"/>
        </w:rPr>
        <w:t>ГОСТ 25336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Сито с сеткой N 005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1E35F1">
        <w:rPr>
          <w:rFonts w:ascii="Arial" w:hAnsi="Arial" w:cs="Arial"/>
          <w:spacing w:val="2"/>
          <w:sz w:val="23"/>
          <w:szCs w:val="23"/>
        </w:rPr>
        <w:t>ГОСТ 6613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Этиловый спирт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1E35F1">
        <w:rPr>
          <w:rFonts w:ascii="Arial" w:hAnsi="Arial" w:cs="Arial"/>
          <w:spacing w:val="2"/>
          <w:sz w:val="23"/>
          <w:szCs w:val="23"/>
        </w:rPr>
        <w:t>ГОСТ 18300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Соляная кислота х.ч.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1E35F1">
        <w:rPr>
          <w:rFonts w:ascii="Arial" w:hAnsi="Arial" w:cs="Arial"/>
          <w:spacing w:val="2"/>
          <w:sz w:val="23"/>
          <w:szCs w:val="23"/>
        </w:rPr>
        <w:t>ГОСТ 3118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2D8D" w:rsidRDefault="00332D8D" w:rsidP="00332D8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7.3.2 Подготовка к анализу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И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з каждой точечной пробы ваты, отобранной по 6.3.3, или из объединенной пробы, сформированной по 6.2.4, отбирают пробы для анализа массой (20±2) г каждая. Пробу помещают в выпарительную чашку или фарфоровый тигель и прокаливают в электропечи при температуре (600±10) °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С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в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течение 20 мин для удаления органических веществ. Часть прокаленной пробы массой (5±0,5) г растирают в фарфоровой ступке до прохождения порошка через сито с сеткой N 005.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2D8D" w:rsidRDefault="00332D8D" w:rsidP="00332D8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7.3.3 Проведение анализа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Порошок массой 0,5 г, прошедший через сито с сеткой N 005 и взвешенный с погрешностью не более 0,001 г, переносят в лабораторный стакан, смачивают несколькими каплями этилового спирта и добавляют 100 мл 0,01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н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раствора соляной кислоты.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В стакан опускают стержень электромеханической (или электромагнитной) мешалки и электроды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рН-метра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, включают мешалку и песочные часы. При отсутствии электромеханической (электромагнитной) мешалки допускается перемешивать раствор вручную.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Через 10 мин записывают значения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рН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с погрешностью не более 0,2.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2D8D" w:rsidRDefault="00332D8D" w:rsidP="00332D8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7.3.4 Обработка результатов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Водостойкость ваты определяют и записывают отдельно для каждой точечной пробы, отобранной по 6.3.3, или для двух проб, отобранных из объединенной пробы, сформированной по 6.2.4, и вычисляют как среднеарифметическое значение результатов параллельных испытаний.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2D8D" w:rsidRDefault="00332D8D" w:rsidP="00332D8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7.4 Определение среднего диаметра волокна, плотности, влажности и содержания органических веще</w:t>
      </w:r>
      <w:proofErr w:type="gramStart"/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ств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Ср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едний диаметр волокна, плотность, влажность, содержание органических веществ определяют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1E35F1">
        <w:rPr>
          <w:rFonts w:ascii="Arial" w:hAnsi="Arial" w:cs="Arial"/>
          <w:spacing w:val="2"/>
          <w:sz w:val="23"/>
          <w:szCs w:val="23"/>
        </w:rPr>
        <w:t>ГОСТ 17177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Допускается определять средний диаметр волокна на электронном сканирующем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микроскопе.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2D8D" w:rsidRDefault="00332D8D" w:rsidP="00332D8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 xml:space="preserve">7.5 Определение содержания </w:t>
      </w:r>
      <w:proofErr w:type="spellStart"/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неволокнистых</w:t>
      </w:r>
      <w:proofErr w:type="spellEnd"/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 xml:space="preserve"> включений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2D8D" w:rsidRDefault="00332D8D" w:rsidP="00332D8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7.5.1 Метод определения с помощью устройства (сухой метод)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Сухой метод определения содержания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неволокнистых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включений в минеральной вате заключается в измельчении пробы минеральной ваты в устройстве, приведенном на рисунке 1, и последующем просеивании измельченной пробы через сито.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2D8D" w:rsidRDefault="00332D8D" w:rsidP="00332D8D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 xml:space="preserve">Рисунок 1 - Устройство для определения содержания </w:t>
      </w:r>
      <w:proofErr w:type="spellStart"/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неволокнистых</w:t>
      </w:r>
      <w:proofErr w:type="spellEnd"/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 xml:space="preserve"> включений в минеральной вате</w:t>
      </w:r>
    </w:p>
    <w:p w:rsidR="00332D8D" w:rsidRDefault="00332D8D" w:rsidP="00332D8D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00466E"/>
          <w:spacing w:val="2"/>
          <w:sz w:val="23"/>
          <w:szCs w:val="23"/>
        </w:rPr>
        <w:drawing>
          <wp:inline distT="0" distB="0" distL="0" distR="0">
            <wp:extent cx="6188075" cy="4051300"/>
            <wp:effectExtent l="19050" t="0" r="3175" b="0"/>
            <wp:docPr id="8" name="Рисунок 8" descr="ГОСТ 4640-2011 Вата минеральная. Технические условия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ОСТ 4640-2011 Вата минеральная. Технические условия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075" cy="405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D8D" w:rsidRDefault="00332D8D" w:rsidP="00332D8D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Рисунок 1 - Устройство для определения содержания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неволокнистых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включений в минеральной вате</w:t>
      </w:r>
    </w:p>
    <w:p w:rsidR="00332D8D" w:rsidRDefault="00332D8D" w:rsidP="00332D8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7.5.1.1 Аппаратура и оборудование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Устройство для определения содержания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неволокнистых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включений (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см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. рисунок 1).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Весы с пределом допускаемой погрешности ±0,1 г.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Камерная электропечь, обеспечивающая температуру нагрева до 600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°С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 автоматическое регулирование температуры с пределом допускаемой погрешности ±10 °С.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Выпарительная чашка вместимостью 250 мл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1E35F1">
        <w:rPr>
          <w:rFonts w:ascii="Arial" w:hAnsi="Arial" w:cs="Arial"/>
          <w:spacing w:val="2"/>
          <w:sz w:val="23"/>
          <w:szCs w:val="23"/>
        </w:rPr>
        <w:t>ГОСТ 9147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Сито с сеткой N 025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1E35F1">
        <w:rPr>
          <w:rFonts w:ascii="Arial" w:hAnsi="Arial" w:cs="Arial"/>
          <w:spacing w:val="2"/>
          <w:sz w:val="23"/>
          <w:szCs w:val="23"/>
        </w:rPr>
        <w:t>ГОСТ 6613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Мехи.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2D8D" w:rsidRDefault="00332D8D" w:rsidP="00332D8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7.5.1.2 Подготовка к испытанию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И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з каждой точечной пробы ваты, отобранной по 6.3.3, или из объединенной пробы, сформированной по 6.2.4, отбирают пробы для испытания массой (50±1) г каждая. Пробы взвешивают с погрешностью ±0,1 г, помещают в выпарительную чашку и прокаливают в электропечи при температуре (600±10) °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С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в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течение 20 мин.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2D8D" w:rsidRDefault="00332D8D" w:rsidP="00332D8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7.5.1.3 Проведение испытаний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Прокаленную пробу помещают в загрузочное отверстие устройства и включают электродвигатель на 15 мин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(</w:t>
      </w:r>
      <w:r w:rsidR="002E1B1A" w:rsidRPr="002E1B1A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1" type="#_x0000_t75" alt="ГОСТ 4640-2011 Вата минеральная. Технические условия" style="width:18.4pt;height:10.9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120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об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/мин).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Измельченные волокна удаляют из приемника устройства мехами,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неволокнистые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включения выгружают и просевают через сито с сеткой N 025. Остаток на сите взвешивают с погрешностью не более ±0,1 г.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2D8D" w:rsidRDefault="00332D8D" w:rsidP="00332D8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7.5.1.4 Обработка результатов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Содержание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неволокнистых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включений в процентах определяют как удвоенную массу остатка на сите.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Содержание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неволокнистых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включений в товарной вате определяют и записывают отдельно для каждой пробы, отобранной по 6.3.3.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Содержание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неволокнистых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включений в вате, применяемой для изготовления изделий, вычисляют как среднеарифметическое значение результатов испытания двух проб, отобранных из объединенной пробы, сформированной по 6.2.4.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2D8D" w:rsidRDefault="00332D8D" w:rsidP="00332D8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7.5.2 Суспензионный ("мокрый") метод определения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Суспензионный ("мокрый") метод определения содержания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неволокнистых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включений в минеральной вате заключается в измельчении пробы минеральной ваты в фарфоровой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ступке с водой и последующем пропускании суспензии через сито.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"Мокрый" метод применяют для определения содержания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неволокнистых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включений в вате марки ВМ-35.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2D8D" w:rsidRDefault="00332D8D" w:rsidP="00332D8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7.5.2.1 Аппаратура и оборудование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Весы с пределом допускаемой погрешности ±0,1 г.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Камерная электропечь, обеспечивающая температуру нагрева до 600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°С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 автоматическое регулирование температуры с пределом допускаемой погрешности ±10 °С.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Сушильный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электрошкаф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, обеспечивающий температуру нагрева до 105 °С и автоматическое регулирование температуры с пределом допускаемой погрешности ±5 °С.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Лабораторная стеклянная посуда (чаша, стакан высотой 150 мм, стеклянная палочка с резиновым наконечником).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Фарфоровая ступка.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Пестик с резиновым наконечником.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Пипетка.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Сито с размером ячейки не более 1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Сито с сеткой N 025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1E35F1">
        <w:rPr>
          <w:rFonts w:ascii="Arial" w:hAnsi="Arial" w:cs="Arial"/>
          <w:spacing w:val="2"/>
          <w:sz w:val="23"/>
          <w:szCs w:val="23"/>
        </w:rPr>
        <w:t>ГОСТ 6613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2D8D" w:rsidRDefault="00332D8D" w:rsidP="00332D8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7.5.2.2 Отбор проб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И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з каждой точечной пробы ваты, отобранной по 6.3.3, или объединенной пробы, сформированной по 6.2.4, отбирают пробы массой не менее 5 г каждая.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2D8D" w:rsidRDefault="00332D8D" w:rsidP="00332D8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7.5.2.3 Проведение испытаний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Взвешенную пробу прокаливают в электропечи при температуре (600±10) °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С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в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течение 30 мин, затем растирают в фарфоровой ступке под водой с помощью пестика с резиновым наконечником. Полученную суспензию пропускают через сито с размером ячейки не более 1 мм в стеклянную чашу. Остаток на сите вновь растирают в фарфоровой ступке. Вся проба должна пройти через сито. Полученную суспензию сливают в стакан высотой 150 мм с двумя метками, расположенными на расстоянии 100 мм друг от друга. Полученную суспензию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 xml:space="preserve">разбавляют водой до верхней метки стакана, перемешивают стеклянной палочкой с резиновым наконечником и через 10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с сливают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столб жидкости между двумя метками. Операцию повторяют до получения прозрачного столба жидкости между метками, которую вновь сливают до первой от дна метки. Оставшуюся жидкость убирают при помощи пипетки.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Неволокнистые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включения, оставшиеся на дне стакана, сушат в сушильном шкафу при температуре (105±5) °С не менее 40 мин. Затем стакан с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неволокнистыми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включениями охлаждают.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Неволокнистые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включения просеивают через сито с размером ячейки 0,25 мм. Остаток на сите взвешивают с погрешностью не более ±0,1 г.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2D8D" w:rsidRDefault="00332D8D" w:rsidP="00332D8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7.5.2.4 Обработка результатов испытания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Содержание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неволокнистых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включений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2E1B1A" w:rsidRPr="002E1B1A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2" type="#_x0000_t75" alt="ГОСТ 4640-2011 Вата минеральная. Технические условия" style="width:11.7pt;height:12.55pt"/>
        </w:pic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%, вычисляют по формуле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2D8D" w:rsidRDefault="00332D8D" w:rsidP="00332D8D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786765" cy="425450"/>
            <wp:effectExtent l="19050" t="0" r="0" b="0"/>
            <wp:docPr id="11" name="Рисунок 11" descr="ГОСТ 4640-2011 Вата минеральная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ОСТ 4640-2011 Вата минеральная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42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(2)</w:t>
      </w:r>
    </w:p>
    <w:p w:rsidR="00332D8D" w:rsidRDefault="00332D8D" w:rsidP="00332D8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где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2E1B1A" w:rsidRPr="002E1B1A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3" type="#_x0000_t75" alt="ГОСТ 4640-2011 Вата минеральная. Технические условия" style="width:17.6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- масса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неволокнистых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включений,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г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="002E1B1A" w:rsidRPr="002E1B1A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4" type="#_x0000_t75" alt="ГОСТ 4640-2011 Вата минеральная. Технические условия" style="width:20.1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масса первоначальной пробы, г.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Содержание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неволокнистых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включений в товарной вате определяют и записывают отдельно для каждой пробы, отобранной по 6.3.3.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Содержание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неволокнистых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включений в вате, применяемой для изготовления изделий, вычисляют как среднеарифметическое значение результатов испытания двух проб, отобранных из объединенной пробы, сформированной по 6.2.4.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2D8D" w:rsidRDefault="00332D8D" w:rsidP="00332D8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7.6 Определение теплопроводности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Теплопроводность при температуре 10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°С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, 25 °С и 125 °С определяют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1E35F1">
        <w:rPr>
          <w:rFonts w:ascii="Arial" w:hAnsi="Arial" w:cs="Arial"/>
          <w:spacing w:val="2"/>
          <w:sz w:val="23"/>
          <w:szCs w:val="23"/>
        </w:rPr>
        <w:t>ГОСТ 7076</w:t>
      </w:r>
      <w:r>
        <w:rPr>
          <w:rFonts w:ascii="Arial" w:hAnsi="Arial" w:cs="Arial"/>
          <w:color w:val="2D2D2D"/>
          <w:spacing w:val="2"/>
          <w:sz w:val="23"/>
          <w:szCs w:val="23"/>
        </w:rPr>
        <w:t>, при температуре 300 °С - методом экстраполяции. Испытания проводят при плотности минеральной ваты, в 1,5 раза превышающей плотность, определенную по 7.4.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2D8D" w:rsidRDefault="00332D8D" w:rsidP="00332D8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7.7 Удельную эффективную активность естественных радионуклидов определяют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1E35F1">
        <w:rPr>
          <w:rFonts w:ascii="Arial" w:hAnsi="Arial" w:cs="Arial"/>
          <w:spacing w:val="2"/>
          <w:sz w:val="23"/>
          <w:szCs w:val="23"/>
        </w:rPr>
        <w:t>ГОСТ 30108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2D8D" w:rsidRDefault="00332D8D" w:rsidP="00332D8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7.8 Группу горючести определяют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1E35F1">
        <w:rPr>
          <w:rFonts w:ascii="Arial" w:hAnsi="Arial" w:cs="Arial"/>
          <w:spacing w:val="2"/>
          <w:sz w:val="23"/>
          <w:szCs w:val="23"/>
        </w:rPr>
        <w:t>ГОСТ 30244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2D8D" w:rsidRDefault="00332D8D" w:rsidP="00332D8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7.9 Санитарно-гигиеническую оценку ваты (количество выделяющихся вредных веществ) проводят лаборатории, аккредитованные в установленном порядке, по действующим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методикам, утвержденным органами здравоохранения.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2D8D" w:rsidRDefault="00332D8D" w:rsidP="00332D8D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8 Транспортирование и хранение</w:t>
      </w:r>
    </w:p>
    <w:p w:rsidR="00332D8D" w:rsidRDefault="00332D8D" w:rsidP="00332D8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8.1 Транспортирование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2D8D" w:rsidRDefault="00332D8D" w:rsidP="00332D8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8.1.1 Товарную вату перевозят в крытых транспортных средствах транспортом всех видов. Допускается по согласованию с потребителем использовать при транспортировании товарной ваты открытые транспортные средства, при этом ответственность за качество ваты несет потребитель.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2D8D" w:rsidRDefault="00332D8D" w:rsidP="00332D8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8.1.2 Погрузку ваты в транспортные средства и перевозку осуществляют в соответствии с правилами, действующими на транспорте конкретного вида, соблюдая требования транспортной маркировки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1E35F1">
        <w:rPr>
          <w:rFonts w:ascii="Arial" w:hAnsi="Arial" w:cs="Arial"/>
          <w:spacing w:val="2"/>
          <w:sz w:val="23"/>
          <w:szCs w:val="23"/>
        </w:rPr>
        <w:t>ГОСТ 14192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2D8D" w:rsidRDefault="00332D8D" w:rsidP="00332D8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8.2 Хранение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2D8D" w:rsidRDefault="00332D8D" w:rsidP="00332D8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8.2.1 Вата должна храниться у изготовителя и потребителя раздельно по маркам в крытых складах в упакованном виде.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Допускается хранение упакованной ваты, уложенной на поддоны или подкладки, под навесом, защищающим вату от воздействия атмосферных осадков. Высота штабеля из упакованных мест при хранении не должна превышать 2 м. Отгрузка ваты потребителю должна проводиться после ее выдержки в течение не менее суток на складе изготовителя.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2D8D" w:rsidRDefault="00332D8D" w:rsidP="00332D8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8.2.2 Срок хранения ваты - не более 6 </w:t>
      </w:r>
      <w:proofErr w:type="spellStart"/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мес</w:t>
      </w:r>
      <w:proofErr w:type="spellEnd"/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с момента ее изготовления. По истечении срока хранения вата должна быть проверена на соответствие требованиям настоящего стандарта, после чего принимается решение о возможности ее применения по назначению.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2D8D" w:rsidRDefault="00332D8D" w:rsidP="00332D8D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9 Указания по применению</w:t>
      </w:r>
    </w:p>
    <w:p w:rsidR="00332D8D" w:rsidRDefault="00332D8D" w:rsidP="00332D8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9.1 Вату применяют в соответствии с требованиями действующих сводов правил или проектной документации.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2D8D" w:rsidRDefault="00332D8D" w:rsidP="00332D8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9.2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Д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о проведения теплоизоляционных работ при строительстве и реконструкции зданий и сооружений и до проведения монтажно-изоляционных работ на трубопроводах и промышленном оборудовании вата должна находиться в упакованном виде в условиях, исключающих ее увлажнение и уплотнение.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Электронный текст документа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сверен по: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М.: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Стандартинформ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, 2012</w:t>
      </w:r>
    </w:p>
    <w:p w:rsidR="00A57EB4" w:rsidRPr="00417361" w:rsidRDefault="00A57EB4" w:rsidP="00417361"/>
    <w:sectPr w:rsidR="00A57EB4" w:rsidRPr="00417361" w:rsidSect="00BD5B9F">
      <w:footerReference w:type="default" r:id="rId11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D51" w:rsidRDefault="00786D51" w:rsidP="00D258E1">
      <w:pPr>
        <w:spacing w:after="0" w:line="240" w:lineRule="auto"/>
      </w:pPr>
      <w:r>
        <w:separator/>
      </w:r>
    </w:p>
  </w:endnote>
  <w:endnote w:type="continuationSeparator" w:id="0">
    <w:p w:rsidR="00786D51" w:rsidRDefault="00786D51" w:rsidP="00D25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8E1" w:rsidRDefault="00D258E1" w:rsidP="00D258E1">
    <w:pPr>
      <w:pStyle w:val="aa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D258E1" w:rsidRDefault="00D258E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D51" w:rsidRDefault="00786D51" w:rsidP="00D258E1">
      <w:pPr>
        <w:spacing w:after="0" w:line="240" w:lineRule="auto"/>
      </w:pPr>
      <w:r>
        <w:separator/>
      </w:r>
    </w:p>
  </w:footnote>
  <w:footnote w:type="continuationSeparator" w:id="0">
    <w:p w:rsidR="00786D51" w:rsidRDefault="00786D51" w:rsidP="00D25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0772D"/>
    <w:multiLevelType w:val="multilevel"/>
    <w:tmpl w:val="BF2CA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B24227"/>
    <w:multiLevelType w:val="multilevel"/>
    <w:tmpl w:val="4836A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8B822EC"/>
    <w:multiLevelType w:val="multilevel"/>
    <w:tmpl w:val="D5128C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3C5A89"/>
    <w:multiLevelType w:val="multilevel"/>
    <w:tmpl w:val="FC002D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7C3325"/>
    <w:multiLevelType w:val="multilevel"/>
    <w:tmpl w:val="A58EC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1E35F1"/>
    <w:rsid w:val="002E1B1A"/>
    <w:rsid w:val="002F0DC4"/>
    <w:rsid w:val="00332D8D"/>
    <w:rsid w:val="00417361"/>
    <w:rsid w:val="00463F6D"/>
    <w:rsid w:val="004A34AD"/>
    <w:rsid w:val="0060734F"/>
    <w:rsid w:val="006E34A7"/>
    <w:rsid w:val="00786D51"/>
    <w:rsid w:val="00865359"/>
    <w:rsid w:val="009703F2"/>
    <w:rsid w:val="00A57EB4"/>
    <w:rsid w:val="00BD5B9F"/>
    <w:rsid w:val="00D258E1"/>
    <w:rsid w:val="00D8013B"/>
    <w:rsid w:val="00E8250E"/>
    <w:rsid w:val="00E9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character" w:styleId="a9">
    <w:name w:val="FollowedHyperlink"/>
    <w:basedOn w:val="a0"/>
    <w:uiPriority w:val="99"/>
    <w:semiHidden/>
    <w:unhideWhenUsed/>
    <w:rsid w:val="00332D8D"/>
    <w:rPr>
      <w:color w:val="800080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D25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258E1"/>
  </w:style>
  <w:style w:type="paragraph" w:styleId="ac">
    <w:name w:val="footer"/>
    <w:basedOn w:val="a"/>
    <w:link w:val="ad"/>
    <w:uiPriority w:val="99"/>
    <w:semiHidden/>
    <w:unhideWhenUsed/>
    <w:rsid w:val="00D25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258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1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9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picture/get?id=P00B4&amp;doc_id=120008853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3880</Words>
  <Characters>22117</Characters>
  <Application>Microsoft Office Word</Application>
  <DocSecurity>0</DocSecurity>
  <Lines>184</Lines>
  <Paragraphs>51</Paragraphs>
  <ScaleCrop>false</ScaleCrop>
  <Manager>Kolisto</Manager>
  <Company>http://gosstandart.info/</Company>
  <LinksUpToDate>false</LinksUpToDate>
  <CharactersWithSpaces>25946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2017-06-07T12:55:00Z</dcterms:created>
  <dcterms:modified xsi:type="dcterms:W3CDTF">2017-08-15T13:02:00Z</dcterms:modified>
</cp:coreProperties>
</file>