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BF" w:rsidRDefault="00E007BF" w:rsidP="00E007B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4677-82 Фонари. Общие технические условия (с Изменениями N 1, 2)</w:t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4677-82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Е83</w:t>
      </w:r>
    </w:p>
    <w:p w:rsidR="00E007BF" w:rsidRDefault="00E007BF" w:rsidP="00E007B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ГОСУДАРСТВЕННЫЙ СТАНДАРТ СОЮЗА ССР</w:t>
      </w:r>
    </w:p>
    <w:p w:rsidR="00E007BF" w:rsidRDefault="00E007BF" w:rsidP="00E007B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ФОНАРИ</w:t>
      </w:r>
    </w:p>
    <w:p w:rsidR="00E007BF" w:rsidRDefault="00E007BF" w:rsidP="00E007B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Общие технические условия</w:t>
      </w:r>
    </w:p>
    <w:p w:rsidR="00E007BF" w:rsidRDefault="00E007BF" w:rsidP="00E007BF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Pocket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lamps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General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specifications</w:t>
      </w:r>
      <w:proofErr w:type="spellEnd"/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34 6898, 34 6899</w:t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Срок действия с 01.01.84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 01.01.94*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Ограничение срока действия снято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протоколу N 3-93 Межгосударственного Совета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стандартизации, метрологии и сертификации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(ИУС N 5/6, 1993 год). - Примечание изготовителя базы данных.</w:t>
      </w:r>
    </w:p>
    <w:p w:rsidR="00E007BF" w:rsidRDefault="00E007BF" w:rsidP="00E007B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ИНФОРМАЦИОННЫЕ ДАННЫЕ</w:t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РАЗРАБОТАН И ВНЕСЕН Министерством электротехнической промышленности и приборостроения СССР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РАЗРАБОТЧИКИ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А.И.Запенин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(руководитель темы); В.В.Белов; Б.Н.Орлов;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А.В.Очкин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; Г.Г.Котик, канд.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техн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наук; Г.В.Куликов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УТВЕРЖДЕН И ВВЕДЕН В ДЕЙСТВИЕ Постановлением Государственного комитета СССР по стандартам от 09.11.82 N 4221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ВЗАМЕН ГОСТ 4677-74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ПЕРИОДИЧНОСТЬ ПРОВЕРКИ - 5 лет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85"/>
        <w:gridCol w:w="5262"/>
      </w:tblGrid>
      <w:tr w:rsidR="00E007BF" w:rsidTr="00E007BF">
        <w:trPr>
          <w:trHeight w:val="15"/>
        </w:trPr>
        <w:tc>
          <w:tcPr>
            <w:tcW w:w="5544" w:type="dxa"/>
            <w:hideMark/>
          </w:tcPr>
          <w:p w:rsidR="00E007BF" w:rsidRDefault="00E007BF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E007BF" w:rsidRDefault="00E007BF">
            <w:pPr>
              <w:rPr>
                <w:sz w:val="2"/>
                <w:szCs w:val="24"/>
              </w:rPr>
            </w:pPr>
          </w:p>
        </w:tc>
      </w:tr>
      <w:tr w:rsidR="00E007BF" w:rsidTr="00E007BF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пункта, подпункта, перечисления, приложения</w:t>
            </w:r>
          </w:p>
        </w:tc>
      </w:tr>
      <w:tr w:rsidR="00E007BF" w:rsidTr="00E007BF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2.606-71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</w:t>
            </w:r>
          </w:p>
        </w:tc>
      </w:tr>
      <w:tr w:rsidR="00E007BF" w:rsidTr="00E007B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43D17">
              <w:rPr>
                <w:sz w:val="18"/>
                <w:szCs w:val="18"/>
              </w:rPr>
              <w:t>ГОСТ 12.2.007.0-75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2.8</w:t>
            </w:r>
          </w:p>
        </w:tc>
      </w:tr>
      <w:tr w:rsidR="00E007BF" w:rsidTr="00E007B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15.009-86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</w:t>
            </w:r>
          </w:p>
        </w:tc>
      </w:tr>
      <w:tr w:rsidR="00E007BF" w:rsidTr="00E007B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7396-85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2.24</w:t>
            </w:r>
          </w:p>
        </w:tc>
      </w:tr>
      <w:tr w:rsidR="00E007BF" w:rsidTr="00E007B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14192-77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6.6</w:t>
            </w:r>
          </w:p>
        </w:tc>
      </w:tr>
      <w:tr w:rsidR="00E007BF" w:rsidTr="00E007B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14254-80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1.1.2; 2.13</w:t>
            </w:r>
          </w:p>
        </w:tc>
      </w:tr>
      <w:tr w:rsidR="00E007BF" w:rsidTr="00E007B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43D17">
              <w:rPr>
                <w:sz w:val="18"/>
                <w:szCs w:val="18"/>
              </w:rPr>
              <w:t>ГОСТ 15150-69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29; 2.26; 6.7; 6.8</w:t>
            </w:r>
          </w:p>
        </w:tc>
      </w:tr>
      <w:tr w:rsidR="00E007BF" w:rsidTr="00E007B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43D17">
              <w:rPr>
                <w:sz w:val="18"/>
                <w:szCs w:val="18"/>
              </w:rPr>
              <w:t>ГОСТ 15846-79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6.9</w:t>
            </w:r>
          </w:p>
        </w:tc>
      </w:tr>
      <w:tr w:rsidR="00E007BF" w:rsidTr="00E007B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43D17">
              <w:rPr>
                <w:sz w:val="18"/>
                <w:szCs w:val="18"/>
              </w:rPr>
              <w:t>ГОСТ 16962-71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2.10; 2.16; 5.16-5.20</w:t>
            </w:r>
          </w:p>
        </w:tc>
      </w:tr>
      <w:tr w:rsidR="00E007BF" w:rsidTr="00E007B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43D17">
              <w:rPr>
                <w:sz w:val="18"/>
                <w:szCs w:val="18"/>
              </w:rPr>
              <w:t>ГОСТ 17677-82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4.1; 5.1</w:t>
            </w:r>
          </w:p>
        </w:tc>
      </w:tr>
      <w:tr w:rsidR="00E007BF" w:rsidTr="00E007B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43D17">
              <w:rPr>
                <w:sz w:val="18"/>
                <w:szCs w:val="18"/>
              </w:rPr>
              <w:lastRenderedPageBreak/>
              <w:t>ГОСТ 18620-86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6.1; 6.2</w:t>
            </w:r>
          </w:p>
        </w:tc>
      </w:tr>
      <w:tr w:rsidR="00E007BF" w:rsidTr="00E007B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21929-76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6.5</w:t>
            </w:r>
          </w:p>
        </w:tc>
      </w:tr>
      <w:tr w:rsidR="00E007BF" w:rsidTr="00E007BF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43D17">
              <w:rPr>
                <w:sz w:val="18"/>
                <w:szCs w:val="18"/>
              </w:rPr>
              <w:t>ГОСТ 23216-78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5.15; 6.3; 6.7</w:t>
            </w:r>
          </w:p>
        </w:tc>
      </w:tr>
    </w:tbl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 СРОК ДЕЙСТВИЯ продлен до 01.01.94 Постановлением Госстандарта СССР от 24.06.88 N 2276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 ПЕРЕИЗДАНИЕ (август 1990 г.) с Изменениями N 1, 2, утвержденными в июне 1988 г., январе 1990 г. (ИУС 10-88, 4-90)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электрические фонари культурно-бытового и хозяйственного назначения с лампами накаливания и с источниками тока в виде сухих электрохимических элементов или аккумуляторов, напряжением не более 42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постоянного тока, предназначенные в качестве переносного светового прибора местного освещения и (или) светосигнального устройства индивидуального пользования, изготовляемые для нужд народного хозяйства и для поставки на экспорт.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Стандарт не распространяется на фонари: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электродинамические;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брелки;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миниатюрные для кратковременной подсветки циферблата часов, замочной скважины и др.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КЛАССИФИКАЦИЯ</w:t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Фонари классифицируют и обозначают по следующим признакам: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1.1.1. По виду источника тока: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 сухими электрохимическими элементами - Б;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 аккумуляторами со встроенными зарядными устройствами - 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 аккумуляторами емкостью свыше 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·ч без зарядных устройств - АБЗ;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 аккумуляторами с выносными зарядными устройствами - AЗ;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 универсальным источником тока (с аккумуляторами или сухими электрохимическими элементами) - 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1,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1.1.2. По степени защиты от попадания воды по ГОСТ 14254-80*: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 </w:t>
      </w:r>
      <w:r w:rsidRPr="00743D17">
        <w:rPr>
          <w:rFonts w:ascii="Arial" w:hAnsi="Arial" w:cs="Arial"/>
          <w:spacing w:val="2"/>
          <w:sz w:val="18"/>
          <w:szCs w:val="18"/>
        </w:rPr>
        <w:t>ГОСТ 14254-96</w:t>
      </w:r>
      <w:r>
        <w:rPr>
          <w:rFonts w:ascii="Arial" w:hAnsi="Arial" w:cs="Arial"/>
          <w:color w:val="2D2D2D"/>
          <w:spacing w:val="2"/>
          <w:sz w:val="18"/>
          <w:szCs w:val="18"/>
        </w:rPr>
        <w:t>, здесь и далее по тексту. - Примечание изготовителя базы данных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з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ащита отсутствует - Н;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" от брызг - С;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" при погружении в воду - 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1.1.3. По конструктивному исполнению: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без светосигнального устройства - 0,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со светосигнальным устройством - 1.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1.1.4.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По способу крепления или переноски (не обозначаются):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без крепления;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 магнитным креплением;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 ремнем, шнуром, тросом;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со скобой, зажимом;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 ручкой;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 креплением на голове (налобные).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 Условное обозначение фонарей.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toplevel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699000" cy="1327785"/>
            <wp:effectExtent l="19050" t="0" r="6350" b="0"/>
            <wp:docPr id="62" name="Рисунок 62" descr="ГОСТ 4677-82 Фонари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ГОСТ 4677-82 Фонари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Номер модификации при разработке фонарей присваивается головной организацией по виду продукции.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Условные обозначения устанавливаются на вновь разрабатываемые фонари.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дополнительно с условным обозначением присваивать фонарям условное наименование, которое должно размещаться после условного обозначения фонаря.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Примеры условных обозначений фонарей: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фонарь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сухим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электрохимическими элементами с защитой при погружении в воду со светосигнальным устройством модификации 015: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БВ-1-015</w:t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фонарь с аккумулятором без защиты от попадания воды без светосигнального устройства модификации 001: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АН-0-001 "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Проминь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"</w:t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ТЕХНИЧЕСКИЕ ТРЕБОВАНИЯ</w:t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Фонари должны изготовляться в соответствии с требованиями настоящего стандарта, технического описания образца по ГОСТ 15.009-86 (в дальнейшем техническое описание) на отдельные типы или группы фонарей по технической документации и образцу-эталону, утвержденными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изготовлять фонари, разработанные до 01.01.89, в соответствии с техническими условиями взамен технического описания.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2.2. Освещенность рабочей поверхности, создаваемая фонарем в пределах круга диаметром 0,15 м, расположенном на плоскости, перпендикулярной оптической оси фонаря, на расстоянии 1 м от его светового центра, должна быть не менее среднего арифметического ее значения, указанного в табл.1а. Коэффициент неравномерности освещенности при этом должен быть не более ±50% от среднего арифметического значения, а освещенность в центре круга - не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менее указанной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табл.1a.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"/>
        <w:gridCol w:w="543"/>
        <w:gridCol w:w="530"/>
        <w:gridCol w:w="705"/>
        <w:gridCol w:w="1057"/>
        <w:gridCol w:w="6977"/>
      </w:tblGrid>
      <w:tr w:rsidR="00E007BF" w:rsidTr="00E007BF">
        <w:trPr>
          <w:trHeight w:val="15"/>
        </w:trPr>
        <w:tc>
          <w:tcPr>
            <w:tcW w:w="554" w:type="dxa"/>
            <w:hideMark/>
          </w:tcPr>
          <w:p w:rsidR="00E007BF" w:rsidRDefault="00E007B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007BF" w:rsidRDefault="00E007B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007BF" w:rsidRDefault="00E007B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007BF" w:rsidRDefault="00E007B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007BF" w:rsidRDefault="00E007BF">
            <w:pPr>
              <w:rPr>
                <w:sz w:val="2"/>
                <w:szCs w:val="24"/>
              </w:rPr>
            </w:pPr>
          </w:p>
        </w:tc>
        <w:tc>
          <w:tcPr>
            <w:tcW w:w="7762" w:type="dxa"/>
            <w:hideMark/>
          </w:tcPr>
          <w:p w:rsidR="00E007BF" w:rsidRDefault="00E007BF">
            <w:pPr>
              <w:rPr>
                <w:sz w:val="2"/>
                <w:szCs w:val="24"/>
              </w:rPr>
            </w:pPr>
          </w:p>
        </w:tc>
      </w:tr>
      <w:tr w:rsidR="00E007BF" w:rsidTr="00E007BF">
        <w:tc>
          <w:tcPr>
            <w:tcW w:w="3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Номинальная мощность лампы фонаря, </w:t>
            </w:r>
            <w:proofErr w:type="gramStart"/>
            <w:r>
              <w:rPr>
                <w:color w:val="2D2D2D"/>
                <w:sz w:val="18"/>
                <w:szCs w:val="18"/>
              </w:rPr>
              <w:t>Вт</w:t>
            </w:r>
            <w:proofErr w:type="gramEnd"/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Среднее арифметическое значение освещенности рабочей поверхности, лк</w:t>
            </w:r>
          </w:p>
        </w:tc>
      </w:tr>
      <w:tr w:rsidR="00E007BF" w:rsidTr="00E007B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</w:tr>
      <w:tr w:rsidR="00E007BF" w:rsidTr="00E007BF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</w:t>
            </w:r>
          </w:p>
        </w:tc>
      </w:tr>
      <w:tr w:rsidR="00E007BF" w:rsidTr="00E007BF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</w:tr>
      <w:tr w:rsidR="00E007BF" w:rsidTr="00E007BF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</w:t>
            </w:r>
          </w:p>
        </w:tc>
      </w:tr>
    </w:tbl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Номинальная мощность лампы определяется как произведение номинального тока на номинальное напряжение, указанные в нормативно-технической документации на лампу.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 Рабочая поверхность отражателя не должна иметь инородных включений, вмятин, царапин, пузырей, пятен и обнажений, влияющих на внешний вид и освещенность рабочей поверхности.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2.1-2.3.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2.4. Защитное стекло должно быть прозрачным, не иметь на рабочей поверхности свилей, пузырей, трещин, царапин и других дефектов.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2.5.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2.6. Фонари со светосигнальным устройством должны иметь красный или красный и зеленый светофильтры. Коэффициент пропускания красного светофильтра должен быть не менее 0,1, зеленого не менее 0,2.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согласованию с потребителем допускается изготовление светофильтров других цветов. Количество, цветность, минимальный коэффициент пропускания этих светофильтров должны быть указаны в техническом описании (технических условиях) на отдельные типы или группы фонарей.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2.7. Светофильтр должен полностью перекрывать выходное отверстие фонаря.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2.8. Фонари должны изготовляться класса защиты III от поражения электрическим током по </w:t>
      </w:r>
      <w:r w:rsidRPr="00743D17">
        <w:rPr>
          <w:rFonts w:ascii="Arial" w:hAnsi="Arial" w:cs="Arial"/>
          <w:spacing w:val="2"/>
          <w:sz w:val="18"/>
          <w:szCs w:val="18"/>
        </w:rPr>
        <w:t>ГОСТ 12.2.007.0-75</w:t>
      </w:r>
      <w:r>
        <w:rPr>
          <w:rFonts w:ascii="Arial" w:hAnsi="Arial" w:cs="Arial"/>
          <w:color w:val="2D2D2D"/>
          <w:spacing w:val="2"/>
          <w:sz w:val="18"/>
          <w:szCs w:val="18"/>
        </w:rPr>
        <w:t>; при этом зарядные устройства должны соответствовать классу защиты II.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2.9. Фонари должны изготовляться климатического исполнения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У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УХЛ (ХЛ), или Т, категории размещения 1.1 по </w:t>
      </w:r>
      <w:r w:rsidRPr="00743D17">
        <w:rPr>
          <w:rFonts w:ascii="Arial" w:hAnsi="Arial" w:cs="Arial"/>
          <w:spacing w:val="2"/>
          <w:sz w:val="18"/>
          <w:szCs w:val="18"/>
        </w:rPr>
        <w:t>ГОСТ 15150-69</w:t>
      </w:r>
      <w:r>
        <w:rPr>
          <w:rFonts w:ascii="Arial" w:hAnsi="Arial" w:cs="Arial"/>
          <w:color w:val="2D2D2D"/>
          <w:spacing w:val="2"/>
          <w:sz w:val="18"/>
          <w:szCs w:val="18"/>
        </w:rPr>
        <w:t>, но для работы при температуре окружающей среды, указанной в нормативно-технической документации на источники тока.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Конкретное климатическое исполнение и предельные значения температуры эксплуатации фонарей должны быть указаны в техническом описании (технических условиях).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2.10. Фонари должны нормально работать после пребывания их в окружающей среде, соответствующей степени жесткости по влажности воздуха II по </w:t>
      </w:r>
      <w:r w:rsidRPr="00743D17">
        <w:rPr>
          <w:rFonts w:ascii="Arial" w:hAnsi="Arial" w:cs="Arial"/>
          <w:spacing w:val="2"/>
          <w:sz w:val="18"/>
          <w:szCs w:val="18"/>
        </w:rPr>
        <w:t>ГОСТ 16962-71</w:t>
      </w:r>
      <w:r>
        <w:rPr>
          <w:rFonts w:ascii="Arial" w:hAnsi="Arial" w:cs="Arial"/>
          <w:color w:val="2D2D2D"/>
          <w:spacing w:val="2"/>
          <w:sz w:val="18"/>
          <w:szCs w:val="18"/>
        </w:rPr>
        <w:t> для климатического исполнения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У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УХЛ (ХЛ) и степени жесткости по влажности воздуха VI по </w:t>
      </w:r>
      <w:r w:rsidRPr="00743D17">
        <w:rPr>
          <w:rFonts w:ascii="Arial" w:hAnsi="Arial" w:cs="Arial"/>
          <w:spacing w:val="2"/>
          <w:sz w:val="18"/>
          <w:szCs w:val="18"/>
        </w:rPr>
        <w:t>ГОСТ 16962-71</w:t>
      </w:r>
      <w:r>
        <w:rPr>
          <w:rFonts w:ascii="Arial" w:hAnsi="Arial" w:cs="Arial"/>
          <w:color w:val="2D2D2D"/>
          <w:spacing w:val="2"/>
          <w:sz w:val="18"/>
          <w:szCs w:val="18"/>
        </w:rPr>
        <w:t> для климатического исполнения 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2.9, 2.10.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2.11. Сопротивление изоляции зарядных устройств фонарей после пребывания их в окружающей среде, соответствующей п.2.10, должно быть не менее значений, указанных в табл.1. Места измерения сопротивления изоляции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52"/>
        <w:gridCol w:w="2748"/>
        <w:gridCol w:w="2747"/>
      </w:tblGrid>
      <w:tr w:rsidR="00E007BF" w:rsidTr="00E007BF">
        <w:trPr>
          <w:trHeight w:val="15"/>
        </w:trPr>
        <w:tc>
          <w:tcPr>
            <w:tcW w:w="5359" w:type="dxa"/>
            <w:hideMark/>
          </w:tcPr>
          <w:p w:rsidR="00E007BF" w:rsidRDefault="00E007BF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E007BF" w:rsidRDefault="00E007BF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E007BF" w:rsidRDefault="00E007BF">
            <w:pPr>
              <w:rPr>
                <w:sz w:val="2"/>
                <w:szCs w:val="24"/>
              </w:rPr>
            </w:pPr>
          </w:p>
        </w:tc>
      </w:tr>
      <w:tr w:rsidR="00E007BF" w:rsidTr="00E007BF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Место измерения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Сопротивление изоляции, МОм, не менее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Испытательное напряжение, кВ</w:t>
            </w:r>
          </w:p>
        </w:tc>
      </w:tr>
      <w:tr w:rsidR="00E007BF" w:rsidTr="00E007BF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Между находящимися под напряжением частями и доступными для прикосновения металлическими частями, металлическими крепежными частями или металлической фольгой, находящейся на доступных для прикосновения изоляционных частях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U+3,5</w:t>
            </w:r>
          </w:p>
        </w:tc>
      </w:tr>
    </w:tbl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U - номинальное напряжение зарядного устройства фонаря.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нормальных климатических условиях испытаний сопротивление изоляции зарядных устройств должно быть не ниже 20 МОм.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2.12. Изоляция зарядных устройств фонарей после пребывания их в окружающей среде, соответствующей п.2.10, должна выдерживать испытательное напряжение, равное 0,6 от значения, указанного в табл.1, а при нормальных климатических условиях испытаний - в соответствии с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Места приложения испытательного напряжения должны соответствовать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2.13. Степень защиты оболочек по ГОСТ 14254-80 должна быть не ниже: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2"/>
        <w:gridCol w:w="1565"/>
        <w:gridCol w:w="7265"/>
        <w:gridCol w:w="171"/>
        <w:gridCol w:w="444"/>
      </w:tblGrid>
      <w:tr w:rsidR="00E007BF" w:rsidTr="00E007BF">
        <w:trPr>
          <w:gridAfter w:val="1"/>
          <w:wAfter w:w="480" w:type="dxa"/>
          <w:trHeight w:val="15"/>
        </w:trPr>
        <w:tc>
          <w:tcPr>
            <w:tcW w:w="924" w:type="dxa"/>
            <w:hideMark/>
          </w:tcPr>
          <w:p w:rsidR="00E007BF" w:rsidRDefault="00E007BF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E007BF" w:rsidRDefault="00E007BF">
            <w:pPr>
              <w:rPr>
                <w:sz w:val="2"/>
                <w:szCs w:val="24"/>
              </w:rPr>
            </w:pPr>
          </w:p>
        </w:tc>
        <w:tc>
          <w:tcPr>
            <w:tcW w:w="7762" w:type="dxa"/>
            <w:hideMark/>
          </w:tcPr>
          <w:p w:rsidR="00E007BF" w:rsidRDefault="00E007BF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E007BF" w:rsidRDefault="00E007BF">
            <w:pPr>
              <w:rPr>
                <w:sz w:val="2"/>
                <w:szCs w:val="24"/>
              </w:rPr>
            </w:pPr>
          </w:p>
        </w:tc>
      </w:tr>
      <w:tr w:rsidR="00E007BF" w:rsidTr="00E007BF">
        <w:trPr>
          <w:gridAfter w:val="1"/>
          <w:wAfter w:w="480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IP20</w:t>
            </w:r>
          </w:p>
        </w:tc>
        <w:tc>
          <w:tcPr>
            <w:tcW w:w="96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для фонарей без защиты от попадания воды;</w:t>
            </w:r>
          </w:p>
        </w:tc>
      </w:tr>
      <w:tr w:rsidR="00E007BF" w:rsidTr="00E007BF">
        <w:trPr>
          <w:gridAfter w:val="1"/>
          <w:wAfter w:w="480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IP24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защитой от брызг;</w:t>
            </w:r>
          </w:p>
        </w:tc>
        <w:tc>
          <w:tcPr>
            <w:tcW w:w="185" w:type="dxa"/>
            <w:hideMark/>
          </w:tcPr>
          <w:p w:rsidR="00E007BF" w:rsidRDefault="00E007BF">
            <w:pPr>
              <w:rPr>
                <w:sz w:val="24"/>
                <w:szCs w:val="24"/>
              </w:rPr>
            </w:pPr>
          </w:p>
        </w:tc>
      </w:tr>
      <w:tr w:rsidR="00E007BF" w:rsidTr="00E007B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IP27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защитой при погружении в воду.</w:t>
            </w:r>
          </w:p>
        </w:tc>
        <w:tc>
          <w:tcPr>
            <w:tcW w:w="185" w:type="dxa"/>
            <w:gridSpan w:val="2"/>
            <w:hideMark/>
          </w:tcPr>
          <w:p w:rsidR="00E007BF" w:rsidRDefault="00E007BF">
            <w:pPr>
              <w:rPr>
                <w:sz w:val="24"/>
                <w:szCs w:val="24"/>
              </w:rPr>
            </w:pPr>
          </w:p>
        </w:tc>
      </w:tr>
    </w:tbl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Конкретная степень защиты оболочек фонарей должна быть указана в техническом описании (технических условиях) на отдельные типы или группы фонарей.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2.14. Фонари с защитой при погружении в воду должны быть водонепроницаемыми и должны после пребывания их в воде в течение 1 ч сохранять свои параметры в пределах значений, установленных в техническом описании (технических условиях) на отдельные типы или группы фонарей.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2.11-2.14.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Измененая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2.15. Фонари с защитой от брызг должны быть устойчивыми к воздействию дождя, верхнее значение интенсивности которого 5 мм/мин.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2.16. Фонари должны быть виброустойчивы в процессе воздействия механических факторов, соответствующих 1 степени жесткости по </w:t>
      </w:r>
      <w:r w:rsidRPr="00743D17">
        <w:rPr>
          <w:rFonts w:ascii="Arial" w:hAnsi="Arial" w:cs="Arial"/>
          <w:spacing w:val="2"/>
          <w:sz w:val="18"/>
          <w:szCs w:val="18"/>
        </w:rPr>
        <w:t>ГОСТ 16962-71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2.17. Все наружные металлические части фонарей должны быть защищены от коррозии в соответствии с условиями эксплуатации, для которых они предназначены.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2.18. На наружной видимой поверхности корпуса фонаря не должно быть видимых мест сварки, спая, следов от толкателя,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утяжин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превышающих глубину 0,3 мм на площади размером 5х5 мм, инородных включений, разнородности цвета на одной детали, царапин, вмятин,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облоя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2.19. Корпус фонаря с сухими электрохимическими элементами должен обеспечивать свободную установку и извлечение сухих электрохимических элементов, не допуская их осевого перемещения после сборки фонаря.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2.18, 2.19.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2.20. Светотехническая арматура фонаря должна обеспечивать надежный электрический контакт установленного источника света.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2.21. Выключатель фонаря должен фиксировать положения "Включено" и "Отключено", обеспечивая надежный электрический контакт. У фонарей, имеющих несколько родов работ (мигающий свет, импульсное выключение и др.), на выключателе или рядом с ним любым способом должны быть четко обозначены положения выключателя.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не наносить обозначения положений выключателя для фонарей, имеющих только два положения - "включено", "отключено", при этом положения выключателя должны быть указаны в эксплуатационном документе по ГОСТ 2.606-68.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2.22. Выключатель должен выдерживать не менее 15000 циклов включения-отключения.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2.21, 2.22.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2.23. Затвор крышки и оптической системы должен выдерживать не менее 500 циклов "закрыто" и "открыто".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2.24. Встроенное или выносное зарядное устройство фонарей с аккумуляторами должно обеспечивать зарядку фонарей от сети переменного тока частоты 50 Гц номинальным напряжением 220 и (или) 127 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Зарядное устройство должно иметь контакты с размерами для штепсельной двухполюсной вилки с цилиндрическими контактами на ток 6,3 А по ГОСТ 7396-85.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Фонари без зарядного устройства должны заряжаться режимами в соответствии с эксплуатационным документом на фонарь.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2.25.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Электрические соединения, обеспечивающие контакт за счет упругих деформаций, должны быть изготовлены из материалов, обладающих пружинящими свойствами, надежной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токопроводностью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и стойких к коррозии.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2.26. Фонари с аккумуляторами должны обеспечивать непрерывное горение лампы в нормальных климатических условиях по </w:t>
      </w:r>
      <w:r w:rsidRPr="00743D17">
        <w:rPr>
          <w:rFonts w:ascii="Arial" w:hAnsi="Arial" w:cs="Arial"/>
          <w:spacing w:val="2"/>
          <w:sz w:val="18"/>
          <w:szCs w:val="18"/>
        </w:rPr>
        <w:t>ГОСТ 15150-69</w:t>
      </w:r>
      <w:r>
        <w:rPr>
          <w:rFonts w:ascii="Arial" w:hAnsi="Arial" w:cs="Arial"/>
          <w:color w:val="2D2D2D"/>
          <w:spacing w:val="2"/>
          <w:sz w:val="18"/>
          <w:szCs w:val="18"/>
        </w:rPr>
        <w:t>, не менее: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ч - для фонарей с аккумуляторами емкостью до 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·ч включительно;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ч - для фонарей с аккумуляторами емкостью свыше 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·ч.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2.27. Срок службы фонарей должен быть не менее: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 лет - для фонарей с сухими электрохимическими элементами;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лет - для фонарей с аккумуляторами и с универсальным источником тока.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Срок службы источника тока и средняя продолжительность горения лампы - по нормативно-технической документации на них.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2.28.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Основные параметры, габаритные размеры, масса фонарей, типы источников тока и света, а также справочные данные (напряжение на аккумуляторах в конце заряда и разряда, время заряда аккумуляторов, ресурс фонарей с аккумулятором - емкость в ампер-часах и количество циклов "заряд-разряд", нормативно-техническая документация на источники тока и света) должны быть указаны в техническом описании (технических условиях) на конкретные типы или группы фонарей.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2.27, 2.28.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2.29. Срок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сохраняемости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фонарей до ввода в эксплуатацию должен быть: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год - для фонарей с аккумуляторами и универсальным источником тока;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1,5 года - для фонарей с сухими электрохимическими элементами.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2.30.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КОМПЛЕКТНОСТЬ</w:t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 комплект входят: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фонарь с лампой;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выносное зарядное устройство - для фонарей с аккумуляторами с выносным зарядным устройством;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запасные детали в соответствии с техническим описанием (техническими условиями) на конкретные типы или группы фонарей;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эксплуатационный документ по ГОСТ 2.606-68 в количестве 1 шт.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эксплуатационном документе должен быть указан адрес предприятия-изготовителя и гарантии изготовителя.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Вид эксплуатационного документа определяется изготовителем.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данные эксплуатационного документа наносить на потребительскую тару;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потребительская тара.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 Предприятия-изготовители по согласованию с потребителем должны поставлять фонари в комплекте с сухими электрохимическими элементами, при этом сухие электрохимические элементы должны быть упакованы отдельно.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3.1, 3.2.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3.3. Фонари с аккумуляторами и с универсальным источником тока должны комплектоваться аккумуляторами, установленными в фонари.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ПРАВИЛА ПРИЕМКИ</w:t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 Правила приемки фонарей - по </w:t>
      </w:r>
      <w:r w:rsidRPr="00743D17">
        <w:rPr>
          <w:rFonts w:ascii="Arial" w:hAnsi="Arial" w:cs="Arial"/>
          <w:spacing w:val="2"/>
          <w:sz w:val="18"/>
          <w:szCs w:val="18"/>
        </w:rPr>
        <w:t>ГОСТ 17677-82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при этом объем и последовательность испытаний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44"/>
        <w:gridCol w:w="1186"/>
        <w:gridCol w:w="1026"/>
        <w:gridCol w:w="883"/>
        <w:gridCol w:w="1362"/>
        <w:gridCol w:w="1071"/>
        <w:gridCol w:w="1375"/>
      </w:tblGrid>
      <w:tr w:rsidR="00E007BF" w:rsidTr="00E007BF">
        <w:trPr>
          <w:trHeight w:val="15"/>
        </w:trPr>
        <w:tc>
          <w:tcPr>
            <w:tcW w:w="4250" w:type="dxa"/>
            <w:hideMark/>
          </w:tcPr>
          <w:p w:rsidR="00E007BF" w:rsidRDefault="00E007B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E007BF" w:rsidRDefault="00E007B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007BF" w:rsidRDefault="00E007B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007BF" w:rsidRDefault="00E007B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E007BF" w:rsidRDefault="00E007B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007BF" w:rsidRDefault="00E007B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E007BF" w:rsidRDefault="00E007BF">
            <w:pPr>
              <w:rPr>
                <w:sz w:val="2"/>
                <w:szCs w:val="24"/>
              </w:rPr>
            </w:pPr>
          </w:p>
        </w:tc>
      </w:tr>
      <w:tr w:rsidR="00E007BF" w:rsidTr="00E007BF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проверки или испытания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Испытания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Раздел, пункт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Контроль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приемо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  <w:t>сдаточных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испытаний</w:t>
            </w:r>
          </w:p>
        </w:tc>
      </w:tr>
      <w:tr w:rsidR="00E007BF" w:rsidTr="00E007BF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приемо</w:t>
            </w:r>
            <w:proofErr w:type="spellEnd"/>
            <w:r>
              <w:rPr>
                <w:color w:val="2D2D2D"/>
                <w:sz w:val="18"/>
                <w:szCs w:val="18"/>
              </w:rPr>
              <w:t>- сдаточные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пери</w:t>
            </w:r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дические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типовые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технических требований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методов испытаний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rPr>
                <w:sz w:val="24"/>
                <w:szCs w:val="24"/>
              </w:rPr>
            </w:pPr>
          </w:p>
        </w:tc>
      </w:tr>
      <w:tr w:rsidR="00E007BF" w:rsidTr="00E007BF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Проверка соответствия деталей и сборочных единиц рабочей документации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+*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43D17">
              <w:rPr>
                <w:sz w:val="18"/>
                <w:szCs w:val="18"/>
              </w:rPr>
              <w:t>ГОСТ</w:t>
            </w:r>
            <w:r>
              <w:rPr>
                <w:color w:val="00466E"/>
                <w:sz w:val="18"/>
                <w:szCs w:val="18"/>
                <w:u w:val="single"/>
              </w:rPr>
              <w:br/>
            </w:r>
            <w:r w:rsidRPr="00743D17">
              <w:rPr>
                <w:sz w:val="18"/>
                <w:szCs w:val="18"/>
              </w:rPr>
              <w:t>17677-82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Выборочный</w:t>
            </w:r>
          </w:p>
        </w:tc>
      </w:tr>
      <w:tr w:rsidR="00E007BF" w:rsidTr="00E007B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Проверка защиты от коррозии и качества декоративных покрытий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+*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43D17">
              <w:rPr>
                <w:sz w:val="18"/>
                <w:szCs w:val="18"/>
              </w:rPr>
              <w:t>ГОСТ</w:t>
            </w:r>
            <w:r>
              <w:rPr>
                <w:color w:val="00466E"/>
                <w:sz w:val="18"/>
                <w:szCs w:val="18"/>
                <w:u w:val="single"/>
              </w:rPr>
              <w:br/>
            </w:r>
            <w:r w:rsidRPr="00743D17">
              <w:rPr>
                <w:sz w:val="18"/>
                <w:szCs w:val="18"/>
              </w:rPr>
              <w:t>17677-82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  <w:tr w:rsidR="00E007BF" w:rsidTr="00E007B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Проверка фиксации выключателя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Сплошной</w:t>
            </w:r>
          </w:p>
        </w:tc>
      </w:tr>
      <w:tr w:rsidR="00E007BF" w:rsidTr="00E007B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Проверка товарного вида фонаря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2.3; 2.4; 2.18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5.3; 5.5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  <w:tr w:rsidR="00E007BF" w:rsidTr="00E007B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Проверка наличия и правильности маркировки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6.1; 2.21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43D17">
              <w:rPr>
                <w:sz w:val="18"/>
                <w:szCs w:val="18"/>
              </w:rPr>
              <w:t>ГОСТ</w:t>
            </w:r>
            <w:r>
              <w:rPr>
                <w:color w:val="00466E"/>
                <w:sz w:val="18"/>
                <w:szCs w:val="18"/>
                <w:u w:val="single"/>
              </w:rPr>
              <w:br/>
            </w:r>
            <w:r w:rsidRPr="00743D17">
              <w:rPr>
                <w:sz w:val="18"/>
                <w:szCs w:val="18"/>
              </w:rPr>
              <w:t>17677-82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Сплошной</w:t>
            </w:r>
          </w:p>
        </w:tc>
      </w:tr>
      <w:tr w:rsidR="00E007BF" w:rsidTr="00E007B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Проверка комплектности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3; 2.6; 2.24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43D17">
              <w:rPr>
                <w:sz w:val="18"/>
                <w:szCs w:val="18"/>
              </w:rPr>
              <w:t>ГОСТ</w:t>
            </w:r>
            <w:r>
              <w:rPr>
                <w:color w:val="00466E"/>
                <w:sz w:val="18"/>
                <w:szCs w:val="18"/>
                <w:u w:val="single"/>
              </w:rPr>
              <w:br/>
            </w:r>
            <w:r w:rsidRPr="00743D17">
              <w:rPr>
                <w:sz w:val="18"/>
                <w:szCs w:val="18"/>
              </w:rPr>
              <w:t>17677-82</w:t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Выборочный</w:t>
            </w:r>
          </w:p>
        </w:tc>
      </w:tr>
      <w:tr w:rsidR="00E007BF" w:rsidTr="00E007B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Измерение освещенности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П12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E007BF" w:rsidTr="00E007B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Измерение коэффициента пропускания светофильтров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П12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43D17">
              <w:rPr>
                <w:sz w:val="18"/>
                <w:szCs w:val="18"/>
              </w:rPr>
              <w:t>ГОСТ</w:t>
            </w:r>
            <w:r>
              <w:rPr>
                <w:color w:val="00466E"/>
                <w:sz w:val="18"/>
                <w:szCs w:val="18"/>
                <w:u w:val="single"/>
              </w:rPr>
              <w:br/>
            </w:r>
            <w:r w:rsidRPr="00743D17">
              <w:rPr>
                <w:sz w:val="18"/>
                <w:szCs w:val="18"/>
              </w:rPr>
              <w:t>17677-82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E007BF" w:rsidTr="00E007B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 Проверка установки светофильтров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П12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E007BF" w:rsidTr="00E007B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 Проверка соответствия габаритных размеров чертежам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П12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2.1; 2.28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43D17">
              <w:rPr>
                <w:sz w:val="18"/>
                <w:szCs w:val="18"/>
              </w:rPr>
              <w:t>ГОСТ 17677-82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E007BF" w:rsidTr="00E007B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 Проверка установки сухих электрохимических элементов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П12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2.19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E007BF" w:rsidTr="00E007B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 Проверка надежности электрического контакта установленного источника света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</w:t>
            </w:r>
            <w:proofErr w:type="gramStart"/>
            <w:r>
              <w:rPr>
                <w:color w:val="2D2D2D"/>
                <w:sz w:val="18"/>
                <w:szCs w:val="18"/>
              </w:rPr>
              <w:t>6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E007BF" w:rsidTr="00E007B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13. Проверка размеров контактного устройства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E007BF" w:rsidTr="00E007B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14. Проверка пружинящего действия контактных деталей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E007BF" w:rsidTr="00E007B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15. Проверка времени непрерывного горения лампы фонарей с аккумуляторами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П12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E007BF" w:rsidTr="00E007B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16. Проверка массы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П12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43D17">
              <w:rPr>
                <w:sz w:val="18"/>
                <w:szCs w:val="18"/>
              </w:rPr>
              <w:t>ГОСТ</w:t>
            </w:r>
            <w:r>
              <w:rPr>
                <w:color w:val="00466E"/>
                <w:sz w:val="18"/>
                <w:szCs w:val="18"/>
                <w:u w:val="single"/>
              </w:rPr>
              <w:br/>
            </w:r>
            <w:r w:rsidRPr="00743D17">
              <w:rPr>
                <w:sz w:val="18"/>
                <w:szCs w:val="18"/>
              </w:rPr>
              <w:t>17677-82</w:t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E007BF" w:rsidTr="00E007B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17. Измерение сопротивления изоляции зарядных устрой</w:t>
            </w:r>
            <w:proofErr w:type="gramStart"/>
            <w:r>
              <w:rPr>
                <w:color w:val="2D2D2D"/>
                <w:sz w:val="18"/>
                <w:szCs w:val="18"/>
              </w:rPr>
              <w:t>ств пр</w:t>
            </w:r>
            <w:proofErr w:type="gramEnd"/>
            <w:r>
              <w:rPr>
                <w:color w:val="2D2D2D"/>
                <w:sz w:val="18"/>
                <w:szCs w:val="18"/>
              </w:rPr>
              <w:t>и нормальных климатических условиях испытаний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</w:t>
            </w:r>
            <w:proofErr w:type="gramStart"/>
            <w:r>
              <w:rPr>
                <w:color w:val="2D2D2D"/>
                <w:sz w:val="18"/>
                <w:szCs w:val="18"/>
              </w:rPr>
              <w:t>6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2.11; 2.8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43D17">
              <w:rPr>
                <w:sz w:val="18"/>
                <w:szCs w:val="18"/>
              </w:rPr>
              <w:t>ГОСТ</w:t>
            </w:r>
            <w:r>
              <w:rPr>
                <w:color w:val="00466E"/>
                <w:sz w:val="18"/>
                <w:szCs w:val="18"/>
                <w:u w:val="single"/>
              </w:rPr>
              <w:br/>
            </w:r>
            <w:r w:rsidRPr="00743D17">
              <w:rPr>
                <w:sz w:val="18"/>
                <w:szCs w:val="18"/>
              </w:rPr>
              <w:t>17677-82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E007BF" w:rsidTr="00E007B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18. Испытание электрической прочности изоляции зарядных устрой</w:t>
            </w:r>
            <w:proofErr w:type="gramStart"/>
            <w:r>
              <w:rPr>
                <w:color w:val="2D2D2D"/>
                <w:sz w:val="18"/>
                <w:szCs w:val="18"/>
              </w:rPr>
              <w:t>ств пр</w:t>
            </w:r>
            <w:proofErr w:type="gramEnd"/>
            <w:r>
              <w:rPr>
                <w:color w:val="2D2D2D"/>
                <w:sz w:val="18"/>
                <w:szCs w:val="18"/>
              </w:rPr>
              <w:t>и нормальных климатических условиях испытаний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</w:t>
            </w:r>
            <w:proofErr w:type="gramStart"/>
            <w:r>
              <w:rPr>
                <w:color w:val="2D2D2D"/>
                <w:sz w:val="18"/>
                <w:szCs w:val="18"/>
              </w:rPr>
              <w:t>6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2.12; 2.8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43D17">
              <w:rPr>
                <w:sz w:val="18"/>
                <w:szCs w:val="18"/>
              </w:rPr>
              <w:t>ГОСТ 17677-82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E007BF" w:rsidTr="00E007B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19. Проверка прочности маркировки, нанесенной краской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</w:t>
            </w:r>
            <w:proofErr w:type="gramStart"/>
            <w:r>
              <w:rPr>
                <w:color w:val="2D2D2D"/>
                <w:sz w:val="18"/>
                <w:szCs w:val="18"/>
              </w:rPr>
              <w:t>6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E007BF" w:rsidTr="00E007B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20. Испытание на </w:t>
            </w:r>
            <w:proofErr w:type="spellStart"/>
            <w:r>
              <w:rPr>
                <w:color w:val="2D2D2D"/>
                <w:sz w:val="18"/>
                <w:szCs w:val="18"/>
              </w:rPr>
              <w:t>виброустойчивость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П12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E007BF" w:rsidTr="00E007B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21. Испытание затвора крышки и оптической системы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E007BF" w:rsidTr="00E007B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22. Испытание выключателя на ресурс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П12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2.22**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E007BF" w:rsidTr="00E007B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23. Испытание на теплоустойчивость при эксплуатации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2.9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E007BF" w:rsidTr="00E007B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24. Испытание на теплоустойчивость при транспортировании и хранении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6.7; 6.8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E007BF" w:rsidTr="00E007B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25. Испытание на </w:t>
            </w:r>
            <w:proofErr w:type="spellStart"/>
            <w:r>
              <w:rPr>
                <w:color w:val="2D2D2D"/>
                <w:sz w:val="18"/>
                <w:szCs w:val="18"/>
              </w:rPr>
              <w:t>влагоустойчивость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</w:t>
            </w:r>
            <w:proofErr w:type="gramStart"/>
            <w:r>
              <w:rPr>
                <w:color w:val="2D2D2D"/>
                <w:sz w:val="18"/>
                <w:szCs w:val="18"/>
              </w:rPr>
              <w:t>6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2.10; 2.13;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43D17">
              <w:rPr>
                <w:sz w:val="18"/>
                <w:szCs w:val="18"/>
              </w:rPr>
              <w:t>ГОСТ</w:t>
            </w:r>
            <w:r>
              <w:rPr>
                <w:color w:val="00466E"/>
                <w:sz w:val="18"/>
                <w:szCs w:val="18"/>
                <w:u w:val="single"/>
              </w:rPr>
              <w:br/>
            </w:r>
            <w:r w:rsidRPr="00743D17">
              <w:rPr>
                <w:sz w:val="18"/>
                <w:szCs w:val="18"/>
              </w:rPr>
              <w:t>17677-82</w:t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E007BF" w:rsidTr="00E007B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26. Проверка степени защиты оболочек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2.14; 2.15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43D17">
              <w:rPr>
                <w:sz w:val="18"/>
                <w:szCs w:val="18"/>
              </w:rPr>
              <w:t>ГОСТ</w:t>
            </w:r>
            <w:r>
              <w:rPr>
                <w:color w:val="00466E"/>
                <w:sz w:val="18"/>
                <w:szCs w:val="18"/>
                <w:u w:val="single"/>
              </w:rPr>
              <w:br/>
            </w:r>
            <w:r w:rsidRPr="00743D17">
              <w:rPr>
                <w:sz w:val="18"/>
                <w:szCs w:val="18"/>
              </w:rPr>
              <w:t>17677-82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E007BF" w:rsidTr="00E007B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27. Испытание на холодоустойчивость при эксплуатации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2.9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E007BF" w:rsidTr="00E007B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28. Испытание на холодоустойчивость при транспортировании и хранении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П12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6.7; 6.8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E007BF" w:rsidTr="00E007B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29. Проверка упаковки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Выборочной</w:t>
            </w:r>
          </w:p>
        </w:tc>
      </w:tr>
      <w:tr w:rsidR="00E007BF" w:rsidTr="00E007B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30. Проверка индивидуальной упаковки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  <w:tr w:rsidR="00E007BF" w:rsidTr="00E007B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31. Проверка транспортной маркировки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</w:tr>
      <w:tr w:rsidR="00E007BF" w:rsidTr="00E007BF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32. Испытание на прочность при транспортировании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7BF" w:rsidRDefault="00E007B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</w:tbl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Условные обозначения, принятые в таблице: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"+" - испытания проводят;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"-" - испытания не проводят;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- рекомендуется проводить в процессе производства до сборочных операций;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** - испытания проводят на фонарях, комплектуемых нестандартным выключателем;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П6 - испытания проводят один раз в 6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П12 - испытания проводят один раз в 12 мес.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Объем испытаний конкретного типа фонаря определяется в зависимости от объема технических требований, установленных в техническом описании (технических условиях) на данный тип или группу фонарей.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5. МЕТОДЫ ИСПЫТАНИЙ</w:t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 Испытания фонарей проводятся методами, изложенными в настоящем стандарте, а также в </w:t>
      </w:r>
      <w:r w:rsidRPr="00743D17">
        <w:rPr>
          <w:rFonts w:ascii="Arial" w:hAnsi="Arial" w:cs="Arial"/>
          <w:spacing w:val="2"/>
          <w:sz w:val="18"/>
          <w:szCs w:val="18"/>
        </w:rPr>
        <w:t>ГОСТ 17677-82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Испытания фонарей с аккумуляторами должны проводиться при полностью заряженных аккумуляторах, а фонарей с сухими электрохимическими элементами при напряжении не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менее указанного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маркировке элемента.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при испытаниях использовать посторонний источник постоянного тока.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Выход из строя лампы или источников тока при испытаниях оценивать по нормативно-технической документации на них.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5.2. Проверку фиксации выключателей фонарей проводят 5-кратным переводом органов управления во включенное и отключенное положения.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При этом должна наблюдаться четкая фиксация органов управления и коммутирующих контактов в отключенном и включенном положениях, а фонарь должен включаться и отключаться, что фиксируется по загоранию и отключению лампы.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 Внешний вид (отсутствие механических повреждений и состояние защитных и защитно-декоративных покрытий) проверяют внешним осмотром.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5.4. Измерение освещенности рабочей поверхности, создаваемой фонарем, проводят с лампой, электрические и светотехнические параметры, а также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размеры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которой соответствуют нормативно-технической документации на нее.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Освещенность измеряют люксметром.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Световой поток фонаря направляют на плоскость, перпендикулярную его оптической оси. Измерения освещенности проводят: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центре круга, указанного в п.2.2, при этом центр светочувствительной поверхности фотоэлемента люксметра должен совпадать с центром круга;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четырех точках, находящихся на взаимно перпендикулярных диаметрах круга, указанного в п.2.2. Фотоэлемент люксметра должен располагаться внутри круга, а наружный край его светочувствительной поверхности примыкать к точке пересечения взаимно перпендикулярных диаметров с границей круга.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Среднее арифметическое значение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</w:t>
      </w:r>
      <w:r w:rsidR="00614A19" w:rsidRPr="00614A19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4677-82 Фонари. Общие технические условия (с Изменениями N 1, 2)" style="width:20.65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) 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результатов измерений в четырех точках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598295" cy="405765"/>
            <wp:effectExtent l="19050" t="0" r="1905" b="0"/>
            <wp:docPr id="64" name="Рисунок 64" descr="ГОСТ 4677-82 Фонари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ГОСТ 4677-82 Фонари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614A19" w:rsidRPr="00614A1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4677-82 Фонари. Общие технические условия (с Изменениями N 1, 2)" style="width:15.0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="00614A19" w:rsidRPr="00614A1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4677-82 Фонари. Общие технические условия (с Изменениями N 1, 2)" style="width:17.5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="00614A19" w:rsidRPr="00614A1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4677-82 Фонари. Общие технические условия (с Изменениями N 1, 2)" style="width:15.6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="00614A19" w:rsidRPr="00614A1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4677-82 Фонари. Общие технические условия (с Изменениями N 1, 2)" style="width:17.5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значения освещенности, измеренные в точках, находящихся на взаимно перпендикулярных диаметрах круга, лк.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Коэффициент неравномерности освещенности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</w:t>
      </w:r>
      <w:r w:rsidR="00614A19" w:rsidRPr="00614A1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4677-82 Фонари. Общие технические условия (с Изменениями N 1, 2)" style="width:12.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) 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в процентах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216660" cy="492760"/>
            <wp:effectExtent l="19050" t="0" r="2540" b="0"/>
            <wp:docPr id="70" name="Рисунок 70" descr="ГОСТ 4677-82 Фонари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ГОСТ 4677-82 Фонари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614A19" w:rsidRPr="00614A1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4677-82 Фонари. Общие технические условия (с Изменениями N 1, 2)" style="width:27.55pt;height:17.55pt"/>
        </w:pict>
      </w:r>
      <w:r w:rsidR="00614A19" w:rsidRPr="00614A1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2" type="#_x0000_t75" alt="ГОСТ 4677-82 Фонари. Общие технические условия (с Изменениями N 1, 2)" style="width:15.0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="00614A19" w:rsidRPr="00614A1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4677-82 Фонари. Общие технические условия (с Изменениями N 1, 2)" style="width:17.5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="00614A19" w:rsidRPr="00614A1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4677-82 Фонари. Общие технические условия (с Изменениями N 1, 2)" style="width:15.6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или </w:t>
      </w:r>
      <w:r w:rsidR="00614A19" w:rsidRPr="00614A1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5" type="#_x0000_t75" alt="ГОСТ 4677-82 Фонари. Общие технические условия (с Изменениями N 1, 2)" style="width:17.5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Перед началом измерения освещенности допускается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подфокусировка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оптической системы фонаря для создания равномерной освещенности в круге.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измерений считают удовлетворительными, если освещенность в центре круга и среднее арифметическое значение освещенности, измеренной в четырех точках, не менее значений, указанных в табл.1а, а коэффициент неравномерности освещенности соответствует п.2.2.</w:t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5.5.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Наличие на наружной видимой поверхности корпуса фонаря видимых мест сварки, спая, следов от толкателя,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утяжин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других дефектов проверяют внешним осмотром, а размеры этих дефектов - с помощью измерительного инструмента с требуемой чертежами точностью.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5.4, 5.5.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5.6. Проверку на соответствие требованиям п.2.7 проводят следующим образом: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рукоятку приспособления, служащего для перекрытия светофильтром выходного отверстия фонаря, переводят в крайнее положение.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проверки считают удовлетворительными, если при помощи внешнего осмотра устанавливают отсутствие излучение белого света из выходного отверстия фонаря.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наличии нескольких светофильтров проверку проводят для каждого светофильтра в отдельности.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5.7. Проверку на соответствие требованиям пп.2.19 и 2.20 проводят пробным монтажом.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проверки считают удовлетворительными, если не обнаружено осевого перемещения сухих электрохимических элементов, 3 мм и фонарь выдерживает испытание по п.5.2.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5.8. Размеры контактного устройства для зарядки фонаря проверяют с помощью измерительного инструмента, обеспечивающего требуемую чертежами точность.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5.9. Пружинящее действие контактных деталей проверяют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опробыванием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вручную.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проверки считают удовлетворительными, если не наблюдается остаточной деформации.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5.10. Проверку по п.2.26 проводят при включенном фонаре с источником света, указанным в техническом описании (технических условиях) на отдельные типы или группы фонарей. По истечении времени работы фонаря, указанного в п.2.26.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5.11. Испытание затвора крышки и оптической системы проводят с частотой не более 5 циклов закрывания-открывания в минуту.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испытаний считают удовлетворительными, если после испытаний не наблюдается самопроизвольного открывания затвора крышки и оптической системы фонаря.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5.12. Испытание выключателя на ресурс проводят под электрической нагрузкой с частотой 30 циклов в минуту. За цикл принимается перемещение привода кинематического механизма из одного крайнего фиксированного положения в другое.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испытаний считают удовлетворительными, если после испытаний выключатель обеспечивает коммутацию электрической цепи лампы.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Стандартные выключатели испытанию не подлежат.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5.13. Упаковку фонарей проверяют внешним осмотром, путем сравнений с конструкторской документацией.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5.14. Индивидуальную упаковку фонарей и транспортную маркировку тары проверяют внешним осмотром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..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5.15. Испытание фонарей на прочность при транспортировании проводят по </w:t>
      </w:r>
      <w:r w:rsidRPr="00743D17">
        <w:rPr>
          <w:rFonts w:ascii="Arial" w:hAnsi="Arial" w:cs="Arial"/>
          <w:spacing w:val="2"/>
          <w:sz w:val="18"/>
          <w:szCs w:val="18"/>
        </w:rPr>
        <w:t>ГОСТ 23216-78</w:t>
      </w:r>
      <w:r>
        <w:rPr>
          <w:rFonts w:ascii="Arial" w:hAnsi="Arial" w:cs="Arial"/>
          <w:color w:val="2D2D2D"/>
          <w:spacing w:val="2"/>
          <w:sz w:val="18"/>
          <w:szCs w:val="18"/>
        </w:rPr>
        <w:t>. Результаты испытаний считают удовлетворительными, если после испытаний фонари соответствуют требованиям п.2.21.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5.16. Испытание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виброустойчивость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фонарей проводят методом 102-1 по </w:t>
      </w:r>
      <w:r w:rsidRPr="00743D17">
        <w:rPr>
          <w:rFonts w:ascii="Arial" w:hAnsi="Arial" w:cs="Arial"/>
          <w:spacing w:val="2"/>
          <w:sz w:val="18"/>
          <w:szCs w:val="18"/>
        </w:rPr>
        <w:t>ГОСТ 16962-71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Фонарь должен быть укомплектован источником тока. Испытание проводят при включенном фонаре в горизонтальном положении.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Параметры режима при испытании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виброустойчивость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устанавливают в контрольной точке, расположенной на краю крепежного приспособления, при помощи которого фонарь закрепляют на платформе испытательного стенда.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испытаний считают удовлетворительными, если во время испытаний не наблюдалось погасание лампы и при внешнем осмотре не обнаружено механических повреждений фонаря.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5.17. Испытания на теплоустойчивость фонарей при эксплуатации проводят методом 201-1 по </w:t>
      </w:r>
      <w:r w:rsidRPr="00743D17">
        <w:rPr>
          <w:rFonts w:ascii="Arial" w:hAnsi="Arial" w:cs="Arial"/>
          <w:spacing w:val="2"/>
          <w:sz w:val="18"/>
          <w:szCs w:val="18"/>
        </w:rPr>
        <w:t>ГОСТ 16962-71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Фонарь должен быть укомплектован источником тока. Время выдержки фонаря в камере тепла - 2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После окончания испытания фонарь извлекают из камеры и не более чем через 3 мин испытывают согласно п.5.2, затем выдерживают в нормальных климатических условиях испытаний в течение 2 ч и проводят внешний осмотр.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испытания считают удовлетворительными, если фонарь выдержал испытание по п.5.2 и при внешнем осмотре не обнаружено трещин, отслаиваний, вздутий и других механических разрушений.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5.18. Испытание фонарей на теплоустойчивость при температуре транспортирования и хранения проводят методом 202-1 по </w:t>
      </w:r>
      <w:r w:rsidRPr="00743D17">
        <w:rPr>
          <w:rFonts w:ascii="Arial" w:hAnsi="Arial" w:cs="Arial"/>
          <w:spacing w:val="2"/>
          <w:sz w:val="18"/>
          <w:szCs w:val="18"/>
        </w:rPr>
        <w:t>ГОСТ 16962-71</w:t>
      </w:r>
      <w:r>
        <w:rPr>
          <w:rFonts w:ascii="Arial" w:hAnsi="Arial" w:cs="Arial"/>
          <w:color w:val="2D2D2D"/>
          <w:spacing w:val="2"/>
          <w:sz w:val="18"/>
          <w:szCs w:val="18"/>
        </w:rPr>
        <w:t> в том случае, если верхняя температура при транспортировании и хранении выше температуры при эксплуатации.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Время выдержки фонарей в камере тепла - 2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Время выдержки фонарей при нормальных климатических условиях испытаний после извлечения их из камеры тепла - 2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Затем проводят испытание по п.5.2 и внешний осмотр.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испытаний считают удовлетворительными, если при внешнем осмотре не обнаружено трещин, отслаиваний, вздутий и других механических разрушений, а также фонари выдержали испытание по п.5.2.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5.19. Испытание фонарей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холодноустойчивость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при эксплуатации проводят методом 203-1 по </w:t>
      </w:r>
      <w:r w:rsidRPr="00743D17">
        <w:rPr>
          <w:rFonts w:ascii="Arial" w:hAnsi="Arial" w:cs="Arial"/>
          <w:spacing w:val="2"/>
          <w:sz w:val="18"/>
          <w:szCs w:val="18"/>
        </w:rPr>
        <w:t>ГОСТ 16962-71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Фонарь должен быть укомплектован источником тока.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Время выдержки в камере холода - 2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После окончания испытания фонарь извлекают из камеры и не более чем через 3 мин испытывают согласно п.5.2, затем выдерживают в нормальных климатических условиях испытаний в течение 2 ч и проводят внешний осмотр.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Результаты испытания считают удовлетворительным, если фонарь выдержал испытание по п.5.2 и при внешнем осмотре не обнаружено трещин, отслаиваний, вздутий и других механических разрушений.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5.20. Испытание фонарей на холодоустойчивость при температуре транспортирования и хранения проводят методом 204-1 по </w:t>
      </w:r>
      <w:r w:rsidRPr="00743D17">
        <w:rPr>
          <w:rFonts w:ascii="Arial" w:hAnsi="Arial" w:cs="Arial"/>
          <w:spacing w:val="2"/>
          <w:sz w:val="18"/>
          <w:szCs w:val="18"/>
        </w:rPr>
        <w:t>ГОСТ 16962-71</w:t>
      </w:r>
      <w:r>
        <w:rPr>
          <w:rFonts w:ascii="Arial" w:hAnsi="Arial" w:cs="Arial"/>
          <w:color w:val="2D2D2D"/>
          <w:spacing w:val="2"/>
          <w:sz w:val="18"/>
          <w:szCs w:val="18"/>
        </w:rPr>
        <w:t> в том случае, если нижняя температура при транспортировании и хранении ниже, чем нижняя температура при эксплуатации.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Время выдержки фонарей в камере холода - 2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Время выдержки фонарей при нормальных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килматическнх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условиях испытаний после извлечения их из камеры холода - 2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Затем проводят испытание по п.5.2 и внешний осмотр.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испытаний считают удовлетворительным, если при внешнем осмотре не обнаружено трещин, отслаиваний, вздутий и других механических разрушений, а также фонари выдержали испытание по п.5.2.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5.21. Проверку прочности нанесения маркировки, в случае нанесения ее краской при помощи штемпелей или печатью, проводят путем 15-кратного протирания места нанесения маркировки поочередно двумя тампонами их хлопчатобумажной ткани, один из которых смочен бензином, а другой питьевой водой.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проверки считают удовлетворительными, если маркировка остается четкой и легко читаемой с расстояния не менее 25 см.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5.16-5.21.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6. МАРКИРОВКА, УПАКОВКА, ТРАНСПОРТИРОВАНИЕ И ХРАНЕНИЕ</w:t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6.1.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 корпусе фонаря должна быть нанесена несмываемая отчетливая маркировка по </w:t>
      </w:r>
      <w:r w:rsidRPr="00743D17">
        <w:rPr>
          <w:rFonts w:ascii="Arial" w:hAnsi="Arial" w:cs="Arial"/>
          <w:spacing w:val="2"/>
          <w:sz w:val="18"/>
          <w:szCs w:val="18"/>
        </w:rPr>
        <w:t>ГОСТ 18620-86</w:t>
      </w:r>
      <w:r>
        <w:rPr>
          <w:rFonts w:ascii="Arial" w:hAnsi="Arial" w:cs="Arial"/>
          <w:color w:val="2D2D2D"/>
          <w:spacing w:val="2"/>
          <w:sz w:val="18"/>
          <w:szCs w:val="18"/>
        </w:rPr>
        <w:t>, содержащая: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условное обозначение и условное название (при его наличии);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розничную цену для изделий, продаваемых через розничную торговую сеть;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надпись "Сделано в СССР" на русском языке или языке, указанном 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заказ-наряде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внешнеторгового объединения - на продукцию для экспорта.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 Способ нанесения маркировки - по </w:t>
      </w:r>
      <w:r w:rsidRPr="00743D17">
        <w:rPr>
          <w:rFonts w:ascii="Arial" w:hAnsi="Arial" w:cs="Arial"/>
          <w:spacing w:val="2"/>
          <w:sz w:val="18"/>
          <w:szCs w:val="18"/>
        </w:rPr>
        <w:t>ГОСТ 18620-86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6.3. Упаковка, транспортирование, хранение и консервация фонарей должны соответствовать </w:t>
      </w:r>
      <w:r w:rsidRPr="00743D17">
        <w:rPr>
          <w:rFonts w:ascii="Arial" w:hAnsi="Arial" w:cs="Arial"/>
          <w:spacing w:val="2"/>
          <w:sz w:val="18"/>
          <w:szCs w:val="18"/>
        </w:rPr>
        <w:t>ГОСТ 23216-78</w:t>
      </w:r>
      <w:r>
        <w:rPr>
          <w:rFonts w:ascii="Arial" w:hAnsi="Arial" w:cs="Arial"/>
          <w:color w:val="2D2D2D"/>
          <w:spacing w:val="2"/>
          <w:sz w:val="18"/>
          <w:szCs w:val="18"/>
        </w:rPr>
        <w:t>, при этом основным видом транспортной тары должны быть грузовые контейнеры.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использовании в качестве транспортной тары ящиков или обрешеток масса брутто грузового места должна быть не более 15 кг.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Конкретный вид потребительской и транспортной тары должен быть указан в конструкторской документации на фонари.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6.4. Потребительская тара должна иметь художественное оформление, содержащее данные, указанные в п.6.1.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6.5. Транспортирование фонарей может производиться пакетами по ГОСТ 21929-76.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Масса и габаритные размеры транспортных пакетов, а также средства и способы пакетирования должны быть указаны в конструкторской документации на фонари.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6.6. На транспортную тару должна быть нанесена маркировка, характеризующая транспортную тару, и транспортная маркировка груза по ГОСТ 14192-77* со следующими манипуляционными знаками: "Осторожно,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хрупкое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!", "Боится сырости".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 </w:t>
      </w:r>
      <w:r w:rsidRPr="00743D17">
        <w:rPr>
          <w:rFonts w:ascii="Arial" w:hAnsi="Arial" w:cs="Arial"/>
          <w:spacing w:val="2"/>
          <w:sz w:val="18"/>
          <w:szCs w:val="18"/>
        </w:rPr>
        <w:t>ГОСТ 14192-96</w:t>
      </w:r>
      <w:r>
        <w:rPr>
          <w:rFonts w:ascii="Arial" w:hAnsi="Arial" w:cs="Arial"/>
          <w:color w:val="2D2D2D"/>
          <w:spacing w:val="2"/>
          <w:sz w:val="18"/>
          <w:szCs w:val="18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необходимости на транспортной таре должны быть указаны другие манипуляционные знаки по ГОСТ 14192-77.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6.7. Условия транспортирования фонарей в части воздействия климатических факторов внешней среды должны соответствовать условиям хранения 5 по </w:t>
      </w:r>
      <w:r w:rsidRPr="00743D17">
        <w:rPr>
          <w:rFonts w:ascii="Arial" w:hAnsi="Arial" w:cs="Arial"/>
          <w:spacing w:val="2"/>
          <w:sz w:val="18"/>
          <w:szCs w:val="18"/>
        </w:rPr>
        <w:t>ГОСТ 15150-69</w:t>
      </w:r>
      <w:r>
        <w:rPr>
          <w:rFonts w:ascii="Arial" w:hAnsi="Arial" w:cs="Arial"/>
          <w:color w:val="2D2D2D"/>
          <w:spacing w:val="2"/>
          <w:sz w:val="18"/>
          <w:szCs w:val="18"/>
        </w:rPr>
        <w:t>, а в части воздействия механических факторов - группе Л по </w:t>
      </w:r>
      <w:r w:rsidRPr="00743D17">
        <w:rPr>
          <w:rFonts w:ascii="Arial" w:hAnsi="Arial" w:cs="Arial"/>
          <w:spacing w:val="2"/>
          <w:sz w:val="18"/>
          <w:szCs w:val="18"/>
        </w:rPr>
        <w:t>ГОСТ 23216-78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Фонари могут транспортироваться любым видом транспорта.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Транспортирование фонарей железнодорожным транспортом осуществляется в крытых вагонах согласно правилам перевозок грузов, действующим на железнодорожном транспорте.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6.8. Условия хранения фонарей на складах изготовителя, потребителя - 2 по </w:t>
      </w:r>
      <w:r w:rsidRPr="00743D17">
        <w:rPr>
          <w:rFonts w:ascii="Arial" w:hAnsi="Arial" w:cs="Arial"/>
          <w:spacing w:val="2"/>
          <w:sz w:val="18"/>
          <w:szCs w:val="18"/>
        </w:rPr>
        <w:t>ГОСТ 15150-69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6.1-6.8.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6.9. Упаковка, маркировка, хранение и транспортирование фонарей, поставляемых в районы Крайнего Севера и труднодоступные районы, - по </w:t>
      </w:r>
      <w:r w:rsidRPr="00743D17">
        <w:rPr>
          <w:rFonts w:ascii="Arial" w:hAnsi="Arial" w:cs="Arial"/>
          <w:spacing w:val="2"/>
          <w:sz w:val="18"/>
          <w:szCs w:val="18"/>
        </w:rPr>
        <w:t>ГОСТ 15846-79</w:t>
      </w:r>
      <w:r>
        <w:rPr>
          <w:rFonts w:ascii="Arial" w:hAnsi="Arial" w:cs="Arial"/>
          <w:color w:val="2D2D2D"/>
          <w:spacing w:val="2"/>
          <w:sz w:val="18"/>
          <w:szCs w:val="18"/>
        </w:rPr>
        <w:t>*.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 </w:t>
      </w:r>
      <w:r w:rsidRPr="00743D17">
        <w:rPr>
          <w:rFonts w:ascii="Arial" w:hAnsi="Arial" w:cs="Arial"/>
          <w:spacing w:val="2"/>
          <w:sz w:val="18"/>
          <w:szCs w:val="18"/>
        </w:rPr>
        <w:t>ГОСТ 15846-2002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7. ГАРАНТИИ ИЗГОТОВИТЕЛЯ</w:t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7.1. Изготовитель гарантирует соответствие фонарей требованиям настоящего стандарта при соблюдении условий эксплуатации, транспортирования и хранения.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Гарантийный срок эксплуатации фонарей - 30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со дня продажи через розничную торговую сеть.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Гарантийный срок эксплуатации источников тока и ламп - по нормативно-технической документации на них.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07BF" w:rsidRDefault="00E007BF" w:rsidP="00E007B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7.2. Для фонарей, поставляемых на экспорт, гарантийный срок эксплуатации - 18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со дня ввода фонарей в эксплуатацию, но не более 30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мес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 момента их проследования через Государственную границу СССР.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Издательство стандартов, 1990</w:t>
      </w:r>
    </w:p>
    <w:p w:rsidR="001B5013" w:rsidRPr="00E007BF" w:rsidRDefault="001B5013" w:rsidP="00E007BF"/>
    <w:sectPr w:rsidR="001B5013" w:rsidRPr="00E007BF" w:rsidSect="00BD5B9F">
      <w:footerReference w:type="default" r:id="rId10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3EC" w:rsidRDefault="006373EC" w:rsidP="004C0421">
      <w:pPr>
        <w:spacing w:after="0" w:line="240" w:lineRule="auto"/>
      </w:pPr>
      <w:r>
        <w:separator/>
      </w:r>
    </w:p>
  </w:endnote>
  <w:endnote w:type="continuationSeparator" w:id="0">
    <w:p w:rsidR="006373EC" w:rsidRDefault="006373EC" w:rsidP="004C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21" w:rsidRDefault="004C0421" w:rsidP="004C0421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4C0421" w:rsidRDefault="004C042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3EC" w:rsidRDefault="006373EC" w:rsidP="004C0421">
      <w:pPr>
        <w:spacing w:after="0" w:line="240" w:lineRule="auto"/>
      </w:pPr>
      <w:r>
        <w:separator/>
      </w:r>
    </w:p>
  </w:footnote>
  <w:footnote w:type="continuationSeparator" w:id="0">
    <w:p w:rsidR="006373EC" w:rsidRDefault="006373EC" w:rsidP="004C0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7F09"/>
    <w:multiLevelType w:val="multilevel"/>
    <w:tmpl w:val="9CA4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B0C5E"/>
    <w:rsid w:val="002F0DC4"/>
    <w:rsid w:val="003C64FC"/>
    <w:rsid w:val="00417361"/>
    <w:rsid w:val="00423B06"/>
    <w:rsid w:val="00463F6D"/>
    <w:rsid w:val="004C0421"/>
    <w:rsid w:val="00593B2B"/>
    <w:rsid w:val="00614A19"/>
    <w:rsid w:val="006373EC"/>
    <w:rsid w:val="006377D1"/>
    <w:rsid w:val="006B72AD"/>
    <w:rsid w:val="006E34A7"/>
    <w:rsid w:val="00743D17"/>
    <w:rsid w:val="00793F5F"/>
    <w:rsid w:val="00865359"/>
    <w:rsid w:val="009649C2"/>
    <w:rsid w:val="009703F2"/>
    <w:rsid w:val="00A57EB4"/>
    <w:rsid w:val="00B45CAD"/>
    <w:rsid w:val="00BD5B9F"/>
    <w:rsid w:val="00C072BD"/>
    <w:rsid w:val="00C23C38"/>
    <w:rsid w:val="00C46F66"/>
    <w:rsid w:val="00C52D34"/>
    <w:rsid w:val="00CA0697"/>
    <w:rsid w:val="00CD13DB"/>
    <w:rsid w:val="00D8013B"/>
    <w:rsid w:val="00E007BF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C0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C0421"/>
  </w:style>
  <w:style w:type="paragraph" w:styleId="ae">
    <w:name w:val="footer"/>
    <w:basedOn w:val="a"/>
    <w:link w:val="af"/>
    <w:uiPriority w:val="99"/>
    <w:semiHidden/>
    <w:unhideWhenUsed/>
    <w:rsid w:val="004C0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C0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4046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27323">
                      <w:marLeft w:val="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465">
                      <w:marLeft w:val="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453">
                      <w:marLeft w:val="4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6737">
                      <w:marLeft w:val="4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5816">
                      <w:marLeft w:val="4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5532">
                      <w:marLeft w:val="4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73142">
                      <w:marLeft w:val="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4738">
                      <w:marLeft w:val="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5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3430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50147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1611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116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0919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4207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4775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4572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6309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480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2380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3267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6151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3544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72672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3295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87200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8531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1907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3090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3693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0514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6998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5268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8251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891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4421</Words>
  <Characters>25203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2017-07-04T07:03:00Z</dcterms:created>
  <dcterms:modified xsi:type="dcterms:W3CDTF">2017-08-15T13:01:00Z</dcterms:modified>
</cp:coreProperties>
</file>