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96" w:rsidRDefault="00F96F96" w:rsidP="00F96F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41"/>
          <w:szCs w:val="41"/>
        </w:rPr>
      </w:pPr>
      <w:r>
        <w:rPr>
          <w:rFonts w:ascii="Arial" w:hAnsi="Arial" w:cs="Arial"/>
          <w:color w:val="000000"/>
          <w:sz w:val="41"/>
          <w:szCs w:val="41"/>
        </w:rPr>
        <w:t xml:space="preserve">ГОСТ </w:t>
      </w:r>
      <w:proofErr w:type="gramStart"/>
      <w:r>
        <w:rPr>
          <w:rFonts w:ascii="Arial" w:hAnsi="Arial" w:cs="Arial"/>
          <w:color w:val="000000"/>
          <w:sz w:val="41"/>
          <w:szCs w:val="41"/>
        </w:rPr>
        <w:t>Р</w:t>
      </w:r>
      <w:proofErr w:type="gramEnd"/>
      <w:r>
        <w:rPr>
          <w:rFonts w:ascii="Arial" w:hAnsi="Arial" w:cs="Arial"/>
          <w:color w:val="000000"/>
          <w:sz w:val="41"/>
          <w:szCs w:val="41"/>
        </w:rPr>
        <w:t xml:space="preserve"> 52674-2006 Мясо и субпродукты, замороженные в блоках, для производства продуктов питания детей раннего возраста. Технические условия</w:t>
      </w:r>
    </w:p>
    <w:p w:rsidR="00F96F96" w:rsidRDefault="00F96F96" w:rsidP="00F96F96">
      <w:pPr>
        <w:rPr>
          <w:lang w:eastAsia="ru-RU"/>
        </w:rPr>
      </w:pP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МЯСО И СУБПРОДУКТЫ, ЗАМОРОЖЕННЫЕ В БЛОКАХ,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ДЛЯ ПРОИЗВОДСТВА ПРОДУКТОВ ПИТАНИЯ ДЕТЕЙ РАННЕГО ВОЗРАСТА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val="en-US" w:eastAsia="ru-RU"/>
        </w:rPr>
      </w:pPr>
      <w:r w:rsidRPr="00F96F96">
        <w:rPr>
          <w:lang w:eastAsia="ru-RU"/>
        </w:rPr>
        <w:t>Технические</w:t>
      </w:r>
      <w:r w:rsidRPr="00F96F96">
        <w:rPr>
          <w:lang w:val="en-US" w:eastAsia="ru-RU"/>
        </w:rPr>
        <w:t> </w:t>
      </w:r>
      <w:r w:rsidRPr="00F96F96">
        <w:rPr>
          <w:lang w:eastAsia="ru-RU"/>
        </w:rPr>
        <w:t>условия</w:t>
      </w:r>
    </w:p>
    <w:p w:rsidR="00F96F96" w:rsidRPr="00F96F96" w:rsidRDefault="00F96F96" w:rsidP="00F96F96">
      <w:pPr>
        <w:rPr>
          <w:szCs w:val="14"/>
          <w:lang w:val="en-US" w:eastAsia="ru-RU"/>
        </w:rPr>
      </w:pPr>
      <w:r w:rsidRPr="00F96F96">
        <w:rPr>
          <w:lang w:val="en-US" w:eastAsia="ru-RU"/>
        </w:rPr>
        <w:t> </w:t>
      </w:r>
    </w:p>
    <w:p w:rsidR="00F96F96" w:rsidRPr="00F96F96" w:rsidRDefault="00F96F96" w:rsidP="00F96F96">
      <w:pPr>
        <w:rPr>
          <w:szCs w:val="14"/>
          <w:lang w:val="en-US" w:eastAsia="ru-RU"/>
        </w:rPr>
      </w:pPr>
      <w:r w:rsidRPr="00F96F96">
        <w:rPr>
          <w:lang w:val="en-US" w:eastAsia="ru-RU"/>
        </w:rPr>
        <w:t>Frozen in blocks meat and meat by-products for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lang w:val="en-US" w:eastAsia="ru-RU"/>
        </w:rPr>
        <w:t>production</w:t>
      </w:r>
      <w:proofErr w:type="gramEnd"/>
      <w:r w:rsidRPr="00F96F96">
        <w:rPr>
          <w:lang w:val="en-US" w:eastAsia="ru-RU"/>
        </w:rPr>
        <w:t xml:space="preserve"> of baby nutrition foods. </w:t>
      </w:r>
      <w:proofErr w:type="spellStart"/>
      <w:r w:rsidRPr="00F96F96">
        <w:rPr>
          <w:lang w:eastAsia="ru-RU"/>
        </w:rPr>
        <w:t>Specifications</w:t>
      </w:r>
      <w:proofErr w:type="spell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ОКС 67.120.10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ОКП 92 1100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92 1200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Дата введения 2008-01-01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Предисловие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Цели и принципы стандартизации в Российской Федерации установлены Федеральным законом от 27 декабря 2002 г. N 184-ФЗ “О техническом регулировании”, а правила применения национальных стандартов Российской Федерации –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1.0-2004 “Стандартизация в Российской Федерации. Основные положения”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Сведения о стандарте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t xml:space="preserve">1 РАЗРАБОТАН Государственным научным учреждением “Всероссийский научно-исследовательский институт мясной промышленности им. В.М.Горбатова” (ГНУ “ВНИИМП им. В.М.Горбатова” </w:t>
      </w:r>
      <w:proofErr w:type="spellStart"/>
      <w:r w:rsidRPr="00F96F96">
        <w:rPr>
          <w:szCs w:val="14"/>
          <w:lang w:eastAsia="ru-RU"/>
        </w:rPr>
        <w:t>Россельхозакадемии</w:t>
      </w:r>
      <w:proofErr w:type="spellEnd"/>
      <w:r w:rsidRPr="00F96F96">
        <w:rPr>
          <w:szCs w:val="14"/>
          <w:lang w:eastAsia="ru-RU"/>
        </w:rPr>
        <w:t>, Техническим комитетом по стандартизации ТК 226 “Мясо и мясная продукция” и ЗАО “Мясокомбинат “</w:t>
      </w:r>
      <w:proofErr w:type="spellStart"/>
      <w:r w:rsidRPr="00F96F96">
        <w:rPr>
          <w:szCs w:val="14"/>
          <w:lang w:eastAsia="ru-RU"/>
        </w:rPr>
        <w:t>Тихорецкий</w:t>
      </w:r>
      <w:proofErr w:type="spellEnd"/>
      <w:r w:rsidRPr="00F96F96">
        <w:rPr>
          <w:szCs w:val="14"/>
          <w:lang w:eastAsia="ru-RU"/>
        </w:rPr>
        <w:t>”</w:t>
      </w:r>
      <w:proofErr w:type="gram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2 </w:t>
      </w:r>
      <w:proofErr w:type="gramStart"/>
      <w:r w:rsidRPr="00F96F96">
        <w:rPr>
          <w:szCs w:val="14"/>
          <w:lang w:eastAsia="ru-RU"/>
        </w:rPr>
        <w:t>ВНЕСЕН</w:t>
      </w:r>
      <w:proofErr w:type="gramEnd"/>
      <w:r w:rsidRPr="00F96F96">
        <w:rPr>
          <w:szCs w:val="14"/>
          <w:lang w:eastAsia="ru-RU"/>
        </w:rPr>
        <w:t xml:space="preserve"> Техническим комитетом по стандартизации ТК 226 “Мясо и мясная продукция”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3 УТВЕРЖДЕН И ВВЕДЕН В ДЕЙСТВИЕ Приказом Федерального агентства по техническому регулированию и метрологии от 27 декабря 2006 г. N 445-ст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4 ВВЕДЕН ВПЕРВЫЕ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i/>
          <w:iCs/>
          <w:lang w:eastAsia="ru-RU"/>
        </w:rPr>
        <w:t>Информация об изменениях к настоящему стандарту публикуется в ежегодно издаваемом информационном указателе “Национальные стандарты”, а текст изменений и поправок – в ежемесячно издаваемых информационных указателях “Национальные стандарты”.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“Национальные стандарты”.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1 Область применения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Настоящий стандарт распространяется на мясо </w:t>
      </w:r>
      <w:proofErr w:type="spellStart"/>
      <w:r w:rsidRPr="00F96F96">
        <w:rPr>
          <w:szCs w:val="14"/>
          <w:lang w:eastAsia="ru-RU"/>
        </w:rPr>
        <w:t>жилованное</w:t>
      </w:r>
      <w:proofErr w:type="spellEnd"/>
      <w:r w:rsidRPr="00F96F96">
        <w:rPr>
          <w:szCs w:val="14"/>
          <w:lang w:eastAsia="ru-RU"/>
        </w:rPr>
        <w:t xml:space="preserve"> и субпродукты обработанные, замороженные в блоках (далее – мясо в блоках и субпродукты в блоках), предназначенные для реализации в торговле, сети общественного питания и промышленной переработки на продукты питания детей раннего возраста.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Требования, обеспечивающие безопасность, изложены в 5.1, требования к маркировке – в 5.3.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2 Нормативные ссылки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В настоящем стандарте использованы ссылки на следующие стандарты: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50453-92 Мясо и мясные продукты. Определение содержания азота (арбитражный метод)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50454-92 (ИСО 3811-79) Мясо и мясные продукты. Обнаружение и учет предполагаемых </w:t>
      </w:r>
      <w:proofErr w:type="spellStart"/>
      <w:r w:rsidRPr="00F96F96">
        <w:rPr>
          <w:szCs w:val="14"/>
          <w:lang w:eastAsia="ru-RU"/>
        </w:rPr>
        <w:t>колиформных</w:t>
      </w:r>
      <w:proofErr w:type="spellEnd"/>
      <w:r w:rsidRPr="00F96F96">
        <w:rPr>
          <w:szCs w:val="14"/>
          <w:lang w:eastAsia="ru-RU"/>
        </w:rPr>
        <w:t xml:space="preserve"> бактерий и </w:t>
      </w:r>
      <w:proofErr w:type="spellStart"/>
      <w:r w:rsidRPr="00F96F96">
        <w:rPr>
          <w:szCs w:val="14"/>
          <w:lang w:eastAsia="ru-RU"/>
        </w:rPr>
        <w:t>Escherichia</w:t>
      </w:r>
      <w:proofErr w:type="spellEnd"/>
      <w:r w:rsidRPr="00F96F96">
        <w:rPr>
          <w:szCs w:val="14"/>
          <w:lang w:eastAsia="ru-RU"/>
        </w:rPr>
        <w:t xml:space="preserve"> </w:t>
      </w:r>
      <w:proofErr w:type="spellStart"/>
      <w:r w:rsidRPr="00F96F96">
        <w:rPr>
          <w:szCs w:val="14"/>
          <w:lang w:eastAsia="ru-RU"/>
        </w:rPr>
        <w:t>coli</w:t>
      </w:r>
      <w:proofErr w:type="spellEnd"/>
      <w:r w:rsidRPr="00F96F96">
        <w:rPr>
          <w:szCs w:val="14"/>
          <w:lang w:eastAsia="ru-RU"/>
        </w:rPr>
        <w:t xml:space="preserve"> (арбитражный метод)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50455-92 (ИСО 3665-75) Мясо и мясные продукты. Обнаружение сальмонелл (арбитражный метод)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51074-2003 Продукты пищевые. Информация для потребителя. Общие требования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51301-99 Продукты пищевые и продовольственное сырье. </w:t>
      </w:r>
      <w:proofErr w:type="spellStart"/>
      <w:r w:rsidRPr="00F96F96">
        <w:rPr>
          <w:szCs w:val="14"/>
          <w:lang w:eastAsia="ru-RU"/>
        </w:rPr>
        <w:t>Инверсионно-вольтамперометрические</w:t>
      </w:r>
      <w:proofErr w:type="spellEnd"/>
      <w:r w:rsidRPr="00F96F96">
        <w:rPr>
          <w:szCs w:val="14"/>
          <w:lang w:eastAsia="ru-RU"/>
        </w:rPr>
        <w:t xml:space="preserve"> методы определения содержания токсичных элементов (кадмия, свинца, меди и цинка)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51446-99 (ИСО 7218-96) Микробиология. Продукты пищевые. Общие правила микробиологических исследований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51447-99 (ИСО 3100-1-91) Мясо и мясные продукты. Методы отбора проб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51448-99 (ИСО 3100-2-88) Мясо и мясные продукты. Методы подготовки проб для микробиологических исследований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51604-2000 Мясо и мясные продукты. Метод гистологической идентификации состава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51766-2001 Сырье и продукты пищевые. Атомно-абсорбционный метод определения мышьяка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51921-2002 Продукты пищевые. Методы выявления и определения бактерий </w:t>
      </w:r>
      <w:proofErr w:type="spellStart"/>
      <w:r w:rsidRPr="00F96F96">
        <w:rPr>
          <w:szCs w:val="14"/>
          <w:lang w:eastAsia="ru-RU"/>
        </w:rPr>
        <w:t>Listeria</w:t>
      </w:r>
      <w:proofErr w:type="spellEnd"/>
      <w:r w:rsidRPr="00F96F96">
        <w:rPr>
          <w:szCs w:val="14"/>
          <w:lang w:eastAsia="ru-RU"/>
        </w:rPr>
        <w:t xml:space="preserve"> </w:t>
      </w:r>
      <w:proofErr w:type="spellStart"/>
      <w:r w:rsidRPr="00F96F96">
        <w:rPr>
          <w:szCs w:val="14"/>
          <w:lang w:eastAsia="ru-RU"/>
        </w:rPr>
        <w:t>monocytogenes</w:t>
      </w:r>
      <w:proofErr w:type="spell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51962-2002 Продукты пищевые и продовольственное сырье. </w:t>
      </w:r>
      <w:proofErr w:type="spellStart"/>
      <w:r w:rsidRPr="00F96F96">
        <w:rPr>
          <w:szCs w:val="14"/>
          <w:lang w:eastAsia="ru-RU"/>
        </w:rPr>
        <w:t>Инверсионно-вольтамперометрический</w:t>
      </w:r>
      <w:proofErr w:type="spellEnd"/>
      <w:r w:rsidRPr="00F96F96">
        <w:rPr>
          <w:szCs w:val="14"/>
          <w:lang w:eastAsia="ru-RU"/>
        </w:rPr>
        <w:t xml:space="preserve"> метод определения массовой концентрации мышьяка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52427-2005 Промышленность мясная. Продукты пищевые. Термины и определения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52478-2005 Говядина и телятина для производства продуктов детского питания.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52480-2005 Мясо и мясные продукты. Ускоренный гистологический метод определения структурных компонентов состава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8.579-2002 Государственная система обеспечения единства измерения. Требования к количеству фасованных товаров в упаковках любого вида при их производстве, расфасовке, продаже и импорте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779-55 Мясо – говядина в полутушах и четвертинах.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1935-55 Мясо – баранина и козлятина – в тушах.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7269-79 Методы отбора образцов и органолептические методы определения свежести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7724-77 Мясо. Свинина в тушах и полутушах.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10444.9-88 Продукты пищевые. Метод определения </w:t>
      </w:r>
      <w:proofErr w:type="spellStart"/>
      <w:r w:rsidRPr="00F96F96">
        <w:rPr>
          <w:szCs w:val="14"/>
          <w:lang w:eastAsia="ru-RU"/>
        </w:rPr>
        <w:t>Clostridium</w:t>
      </w:r>
      <w:proofErr w:type="spellEnd"/>
      <w:r w:rsidRPr="00F96F96">
        <w:rPr>
          <w:szCs w:val="14"/>
          <w:lang w:eastAsia="ru-RU"/>
        </w:rPr>
        <w:t xml:space="preserve"> </w:t>
      </w:r>
      <w:proofErr w:type="spellStart"/>
      <w:r w:rsidRPr="00F96F96">
        <w:rPr>
          <w:szCs w:val="14"/>
          <w:lang w:eastAsia="ru-RU"/>
        </w:rPr>
        <w:t>perfringens</w:t>
      </w:r>
      <w:proofErr w:type="spell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10444.15-94 Продукты пищевые. Методы определения количества </w:t>
      </w:r>
      <w:proofErr w:type="spellStart"/>
      <w:r w:rsidRPr="00F96F96">
        <w:rPr>
          <w:szCs w:val="14"/>
          <w:lang w:eastAsia="ru-RU"/>
        </w:rPr>
        <w:t>мезофильных</w:t>
      </w:r>
      <w:proofErr w:type="spellEnd"/>
      <w:r w:rsidRPr="00F96F96">
        <w:rPr>
          <w:szCs w:val="14"/>
          <w:lang w:eastAsia="ru-RU"/>
        </w:rPr>
        <w:t xml:space="preserve"> аэробных и факультативно-анаэробных микроорганизмов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14192-96 Маркировка грузов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16867-71 Мясо – телятина в тушах и полутушах.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19496-93 Мясо. Метод гистологического исследования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21237-75 Мясо. Методы бактериологического анализа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23042-86 Мясо и мясные продукты. Методы определения жира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23392-78 Мясо. Методы химического и микроскопического анализа свежести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25011-81 Мясо и мясные продукты. Методы определения белка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26668-85 Продукты пищевые и вкусовые. Методы отбора проб для микробиологических анализов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26669-85 Продукты пищевые и вкусовые. Подготовка проб для микробиологических анализов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26670-91 Продукты пищевые. Методы культивирования микроорганизмов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26927-86 Сырье и продукты пищевые. Методы определения ртути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26929-94 Сырье и продукты пищевые. Подготовка проб. Минерализация для определения содержания токсичных элементов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26930-86 Сырье и продукты пищевые. Метод определения мышьяка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ГОСТ 26932-86 Сырье и продукты пищевые. Метод определения свинца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26933-86 Сырье и продукты пищевые. Метод определения кадмия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27095-86 Мясо. Конина и жеребятина в полутушах и четвертинах.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30178-96 Сырье и продукты пищевые. Атомно-абсорбционный метод определения токсичных элементов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30518-97/ГОСТ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50474-93 Продукты пищевые. Методы выявления и определения количества бактерий группы кишечных палочек (</w:t>
      </w:r>
      <w:proofErr w:type="spellStart"/>
      <w:r w:rsidRPr="00F96F96">
        <w:rPr>
          <w:szCs w:val="14"/>
          <w:lang w:eastAsia="ru-RU"/>
        </w:rPr>
        <w:t>колиформных</w:t>
      </w:r>
      <w:proofErr w:type="spellEnd"/>
      <w:r w:rsidRPr="00F96F96">
        <w:rPr>
          <w:szCs w:val="14"/>
          <w:lang w:eastAsia="ru-RU"/>
        </w:rPr>
        <w:t xml:space="preserve"> бактерий)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ГОСТ 30519-97/ГОСТ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50480-93 Продукты пищевые. Метод выявления бактерий рода </w:t>
      </w:r>
      <w:proofErr w:type="spellStart"/>
      <w:r w:rsidRPr="00F96F96">
        <w:rPr>
          <w:szCs w:val="14"/>
          <w:lang w:eastAsia="ru-RU"/>
        </w:rPr>
        <w:t>Salmonella</w:t>
      </w:r>
      <w:proofErr w:type="spell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ГОСТ 30538-97 Продукты пищевые. Методика определения токсичных элементов атомно-эмиссионным методом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t>Примечание 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 издаваемому указателю “Национальные стандарты”,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F96F96">
        <w:rPr>
          <w:szCs w:val="14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3 Термины и определения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В настоящем стандарте применены термины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52427, а также термины с соответствующими определениями: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3.1 </w:t>
      </w:r>
      <w:r w:rsidRPr="00F96F96">
        <w:rPr>
          <w:lang w:eastAsia="ru-RU"/>
        </w:rPr>
        <w:t>класс:</w:t>
      </w:r>
      <w:r w:rsidRPr="00F96F96">
        <w:rPr>
          <w:szCs w:val="14"/>
          <w:lang w:eastAsia="ru-RU"/>
        </w:rPr>
        <w:t> Блоки, объединенные по сырьевому признаку.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3.2 </w:t>
      </w:r>
      <w:r w:rsidRPr="00F96F96">
        <w:rPr>
          <w:lang w:eastAsia="ru-RU"/>
        </w:rPr>
        <w:t>группа:</w:t>
      </w:r>
      <w:r w:rsidRPr="00F96F96">
        <w:rPr>
          <w:szCs w:val="14"/>
          <w:lang w:eastAsia="ru-RU"/>
        </w:rPr>
        <w:t> Часть класса, объединенная по виду мяса.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3.3 </w:t>
      </w:r>
      <w:r w:rsidRPr="00F96F96">
        <w:rPr>
          <w:lang w:eastAsia="ru-RU"/>
        </w:rPr>
        <w:t>подгруппа:</w:t>
      </w:r>
      <w:r w:rsidRPr="00F96F96">
        <w:rPr>
          <w:szCs w:val="14"/>
          <w:lang w:eastAsia="ru-RU"/>
        </w:rPr>
        <w:t> Часть группы, характеризующаяся общими сортовыми характеристиками (массовой долей соединительной и жировой ткани) или различающаяся по анатомическому строению.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4 Классификация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4.1</w:t>
      </w:r>
      <w:proofErr w:type="gramStart"/>
      <w:r w:rsidRPr="00F96F96">
        <w:rPr>
          <w:szCs w:val="14"/>
          <w:lang w:eastAsia="ru-RU"/>
        </w:rPr>
        <w:t xml:space="preserve"> В</w:t>
      </w:r>
      <w:proofErr w:type="gramEnd"/>
      <w:r w:rsidRPr="00F96F96">
        <w:rPr>
          <w:szCs w:val="14"/>
          <w:lang w:eastAsia="ru-RU"/>
        </w:rPr>
        <w:t xml:space="preserve"> зависимости от вида и состава используемого сырья мясо в блоках и субпродукты в блоках подразделяют на классы А и Б, группы 1-4 и подгруппы: 1.1-1.4 для группы 1; 2.1-2.3 для группы 2.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Класс</w:t>
      </w:r>
      <w:proofErr w:type="gramStart"/>
      <w:r w:rsidRPr="00F96F96">
        <w:rPr>
          <w:szCs w:val="14"/>
          <w:lang w:eastAsia="ru-RU"/>
        </w:rPr>
        <w:t xml:space="preserve"> А</w:t>
      </w:r>
      <w:proofErr w:type="gramEnd"/>
      <w:r w:rsidRPr="00F96F96">
        <w:rPr>
          <w:szCs w:val="14"/>
          <w:lang w:eastAsia="ru-RU"/>
        </w:rPr>
        <w:t xml:space="preserve"> – мясо </w:t>
      </w:r>
      <w:proofErr w:type="spellStart"/>
      <w:r w:rsidRPr="00F96F96">
        <w:rPr>
          <w:szCs w:val="14"/>
          <w:lang w:eastAsia="ru-RU"/>
        </w:rPr>
        <w:t>жилованное</w:t>
      </w:r>
      <w:proofErr w:type="spellEnd"/>
      <w:r w:rsidRPr="00F96F96">
        <w:rPr>
          <w:szCs w:val="14"/>
          <w:lang w:eastAsia="ru-RU"/>
        </w:rPr>
        <w:t>, замороженное в блоках, вырабатывают следующих наименований: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1 говядина: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подгруппа 1.1 – массовой долей соединительной и жировой ткани не более 9,0%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подгруппа 1.2 – массовой долей соединительной и жировой ткани не более 12,0%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подгруппа 1.3 – массовой долей соединительной и жировой ткани не более 20,0%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подгруппа 1.4 – телятина массовой долей жировой ткани не более 9,0%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2 свинина: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 xml:space="preserve">подгруппа 2.1 – массовой долей жировой ткани от 13,0% до 17,0%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подгруппа 2.2 – массовой долей жировой ткани от 28,0% до 32,0%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подгруппа 2.3 – массовой долей жировой ткани не более 50,0%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3 конина: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- массовой долей жировой и соединительной ткани не более 12,0%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4 баранина: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- массовой долей жировой и соединительной ткани не более 12,0%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Класс</w:t>
      </w:r>
      <w:proofErr w:type="gramStart"/>
      <w:r w:rsidRPr="00F96F96">
        <w:rPr>
          <w:szCs w:val="14"/>
          <w:lang w:eastAsia="ru-RU"/>
        </w:rPr>
        <w:t xml:space="preserve"> Б</w:t>
      </w:r>
      <w:proofErr w:type="gramEnd"/>
      <w:r w:rsidRPr="00F96F96">
        <w:rPr>
          <w:szCs w:val="14"/>
          <w:lang w:eastAsia="ru-RU"/>
        </w:rPr>
        <w:t xml:space="preserve"> – субпродукты обработанные, замороженные в блоках, вырабатывают следующих наименований: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 xml:space="preserve">группа 1 </w:t>
      </w:r>
      <w:proofErr w:type="gramStart"/>
      <w:r w:rsidRPr="00F96F96">
        <w:rPr>
          <w:lang w:eastAsia="ru-RU"/>
        </w:rPr>
        <w:t>говяжьи</w:t>
      </w:r>
      <w:proofErr w:type="gramEnd"/>
      <w:r w:rsidRPr="00F96F96">
        <w:rPr>
          <w:lang w:eastAsia="ru-RU"/>
        </w:rPr>
        <w:t>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печень,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язык,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сердце;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 xml:space="preserve">группа 2 </w:t>
      </w:r>
      <w:proofErr w:type="gramStart"/>
      <w:r w:rsidRPr="00F96F96">
        <w:rPr>
          <w:lang w:eastAsia="ru-RU"/>
        </w:rPr>
        <w:t>свиные</w:t>
      </w:r>
      <w:proofErr w:type="gramEnd"/>
      <w:r w:rsidRPr="00F96F96">
        <w:rPr>
          <w:lang w:eastAsia="ru-RU"/>
        </w:rPr>
        <w:t>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печень,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- язык,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сердце;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 xml:space="preserve">группа 3 </w:t>
      </w:r>
      <w:proofErr w:type="gramStart"/>
      <w:r w:rsidRPr="00F96F96">
        <w:rPr>
          <w:lang w:eastAsia="ru-RU"/>
        </w:rPr>
        <w:t>конские</w:t>
      </w:r>
      <w:proofErr w:type="gramEnd"/>
      <w:r w:rsidRPr="00F96F96">
        <w:rPr>
          <w:lang w:eastAsia="ru-RU"/>
        </w:rPr>
        <w:t>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печень,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язык,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сердце;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 xml:space="preserve">группа 4 </w:t>
      </w:r>
      <w:proofErr w:type="gramStart"/>
      <w:r w:rsidRPr="00F96F96">
        <w:rPr>
          <w:lang w:eastAsia="ru-RU"/>
        </w:rPr>
        <w:t>бараньи</w:t>
      </w:r>
      <w:proofErr w:type="gramEnd"/>
      <w:r w:rsidRPr="00F96F96">
        <w:rPr>
          <w:lang w:eastAsia="ru-RU"/>
        </w:rPr>
        <w:t>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печень,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язык,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сердце.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4.2</w:t>
      </w:r>
      <w:proofErr w:type="gramStart"/>
      <w:r w:rsidRPr="00F96F96">
        <w:rPr>
          <w:szCs w:val="14"/>
          <w:lang w:eastAsia="ru-RU"/>
        </w:rPr>
        <w:t xml:space="preserve"> В</w:t>
      </w:r>
      <w:proofErr w:type="gramEnd"/>
      <w:r w:rsidRPr="00F96F96">
        <w:rPr>
          <w:szCs w:val="14"/>
          <w:lang w:eastAsia="ru-RU"/>
        </w:rPr>
        <w:t xml:space="preserve"> зависимости от размера мясо в блоках и субпродукты в блоках подразделяют на типы а, б, в, г (см. 5.1.2).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5 Технические требования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5.1 Характеристики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lastRenderedPageBreak/>
        <w:t>5.1.1 Мясо в блоках и субпродукты в блоках должны соответствовать требованиям настоящего стандарта, вырабатываться по технологической инструкции, регламентирующей технологический процесс производства [1], утвержденной в установленном порядке, с соблюдением правил ветеринарного осмотра убойных животных и ветеринарно-санитарной экспертизы мяса и мясных продуктов, санитарных правил для предприятий мясной и птицеперерабатывающей промышленности, гигиенических требований безопасности и пищевой ценности пищевых продуктов, санитарно-гигиенических требований к производству</w:t>
      </w:r>
      <w:proofErr w:type="gramEnd"/>
      <w:r w:rsidRPr="00F96F96">
        <w:rPr>
          <w:szCs w:val="14"/>
          <w:lang w:eastAsia="ru-RU"/>
        </w:rPr>
        <w:t xml:space="preserve"> продуктов на мясной основе питания детей раннего возраста, установленных нормативными правовыми актами Российской Федерации*.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________________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* До введения соответствующих нормативных актов Российской Федерации – нормативными документами федеральных органов исполнительной власти [1]-[5].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5.1.2 Характеристика мяса в блоках и субпродуктов в блоках по форме и размерам приведена в таблице 1.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Таблица 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2655"/>
        <w:gridCol w:w="1245"/>
        <w:gridCol w:w="1230"/>
        <w:gridCol w:w="1260"/>
      </w:tblGrid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390" w:type="dxa"/>
            <w:gridSpan w:val="4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Характеристика и норма для блоков типа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а</w:t>
            </w:r>
          </w:p>
        </w:tc>
        <w:tc>
          <w:tcPr>
            <w:tcW w:w="124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б</w:t>
            </w:r>
          </w:p>
        </w:tc>
        <w:tc>
          <w:tcPr>
            <w:tcW w:w="123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в</w:t>
            </w:r>
          </w:p>
        </w:tc>
        <w:tc>
          <w:tcPr>
            <w:tcW w:w="126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г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Форма блока</w:t>
            </w:r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Усеченная четырехгранная пирамида</w:t>
            </w:r>
          </w:p>
        </w:tc>
        <w:tc>
          <w:tcPr>
            <w:tcW w:w="3735" w:type="dxa"/>
            <w:gridSpan w:val="3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Прямоугольный параллелепипед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Размеры блока, </w:t>
            </w:r>
            <w:proofErr w:type="gram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370</w:t>
            </w:r>
          </w:p>
        </w:tc>
        <w:tc>
          <w:tcPr>
            <w:tcW w:w="124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370</w:t>
            </w:r>
          </w:p>
        </w:tc>
        <w:tc>
          <w:tcPr>
            <w:tcW w:w="123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370</w:t>
            </w:r>
          </w:p>
        </w:tc>
        <w:tc>
          <w:tcPr>
            <w:tcW w:w="126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800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370</w:t>
            </w:r>
          </w:p>
        </w:tc>
        <w:tc>
          <w:tcPr>
            <w:tcW w:w="124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370</w:t>
            </w:r>
          </w:p>
        </w:tc>
        <w:tc>
          <w:tcPr>
            <w:tcW w:w="123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180</w:t>
            </w:r>
          </w:p>
        </w:tc>
        <w:tc>
          <w:tcPr>
            <w:tcW w:w="126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260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23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150</w:t>
            </w:r>
          </w:p>
        </w:tc>
        <w:tc>
          <w:tcPr>
            <w:tcW w:w="124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75</w:t>
            </w:r>
          </w:p>
        </w:tc>
        <w:tc>
          <w:tcPr>
            <w:tcW w:w="123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95</w:t>
            </w:r>
          </w:p>
        </w:tc>
        <w:tc>
          <w:tcPr>
            <w:tcW w:w="126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75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8760" w:type="dxa"/>
            <w:gridSpan w:val="5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 </w:t>
            </w:r>
          </w:p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 Предельные отклонения блоков от установленных размеров – ±10 мм.</w:t>
            </w:r>
          </w:p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 </w:t>
            </w:r>
          </w:p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2</w:t>
            </w:r>
            <w:proofErr w:type="gramStart"/>
            <w:r w:rsidRPr="00F96F96">
              <w:rPr>
                <w:szCs w:val="14"/>
                <w:lang w:eastAsia="ru-RU"/>
              </w:rPr>
              <w:t xml:space="preserve"> Д</w:t>
            </w:r>
            <w:proofErr w:type="gramEnd"/>
            <w:r w:rsidRPr="00F96F96">
              <w:rPr>
                <w:szCs w:val="14"/>
                <w:lang w:eastAsia="ru-RU"/>
              </w:rPr>
              <w:t>опускаются другие типы блоков весом не более 20 кг.</w:t>
            </w:r>
          </w:p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 </w:t>
            </w:r>
          </w:p>
        </w:tc>
      </w:tr>
    </w:tbl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5.1.3</w:t>
      </w:r>
      <w:proofErr w:type="gramStart"/>
      <w:r w:rsidRPr="00F96F96">
        <w:rPr>
          <w:szCs w:val="14"/>
          <w:lang w:eastAsia="ru-RU"/>
        </w:rPr>
        <w:t xml:space="preserve"> П</w:t>
      </w:r>
      <w:proofErr w:type="gramEnd"/>
      <w:r w:rsidRPr="00F96F96">
        <w:rPr>
          <w:szCs w:val="14"/>
          <w:lang w:eastAsia="ru-RU"/>
        </w:rPr>
        <w:t>о органолептическим показателям мясо в блоках и субпродукты в блоках должны быть монолитные, поверхность блоков – твердая, цвет – свойственный данному виду сырья в замороженном состоянии.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Температура в толще блоков – не выше минус 18 °С.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Не допускается в замороженных блоках и на их поверхности наличие льда и снега.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5.1.4 Микробиологические показатели мяса в блоках и субпродуктов в блоках должны быть не более норм, установленных нормативными правовыми актами Российской Федерации*, и соответствовать требованиям, указанным в таблице 2.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________________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* До введения соответствующих нормативных актов Российской Федерации – нормативными документами федеральных органов исполнительной власти [1]-[5].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Таблица 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70"/>
        <w:gridCol w:w="1950"/>
        <w:gridCol w:w="1935"/>
      </w:tblGrid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885" w:type="dxa"/>
            <w:gridSpan w:val="2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Значение показателя для блоков класса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А</w:t>
            </w:r>
          </w:p>
        </w:tc>
        <w:tc>
          <w:tcPr>
            <w:tcW w:w="193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Б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аэробных и факультативно-анаэробных микроорганизмов, КОЕ/</w:t>
            </w:r>
            <w:proofErr w:type="gram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более </w:t>
            </w:r>
          </w:p>
        </w:tc>
        <w:tc>
          <w:tcPr>
            <w:tcW w:w="195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1х10</w:t>
            </w:r>
          </w:p>
        </w:tc>
        <w:tc>
          <w:tcPr>
            <w:tcW w:w="193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2х10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Споры/г* 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термофильных</w:t>
            </w:r>
            <w:proofErr w:type="gram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клостридий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более </w:t>
            </w:r>
          </w:p>
        </w:tc>
        <w:tc>
          <w:tcPr>
            <w:tcW w:w="195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10</w:t>
            </w:r>
          </w:p>
        </w:tc>
        <w:tc>
          <w:tcPr>
            <w:tcW w:w="193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10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продукта (г), в которой не допускаются: </w:t>
            </w:r>
          </w:p>
        </w:tc>
        <w:tc>
          <w:tcPr>
            <w:tcW w:w="195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95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0,001</w:t>
            </w:r>
          </w:p>
        </w:tc>
        <w:tc>
          <w:tcPr>
            <w:tcW w:w="193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0,001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77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патогенные микроорганизмы, в том числе сальмонеллы и 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L.monocytogenes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25</w:t>
            </w:r>
          </w:p>
        </w:tc>
        <w:tc>
          <w:tcPr>
            <w:tcW w:w="193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25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8655" w:type="dxa"/>
            <w:gridSpan w:val="3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* В случае направления сырья на производство консервированной продукции. </w:t>
            </w:r>
          </w:p>
        </w:tc>
      </w:tr>
    </w:tbl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5.1.5 Содержание токсичных элементов (свинца, мышьяка, кадмия, ртути), антибиотиков, пестицидов и радионуклидов в мясе и субпродуктах в блоках не должно превышать допустимые уровни, установленные нормативными правовыми актами Российской Федерации*.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_______________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* До введения соответствующих нормативных актов Российской Федерации – нормативными документами федеральных органов исполнительной власти [1]-[5].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5.2 Требования к сырью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5.2.1</w:t>
      </w:r>
      <w:proofErr w:type="gramStart"/>
      <w:r w:rsidRPr="00F96F96">
        <w:rPr>
          <w:szCs w:val="14"/>
          <w:lang w:eastAsia="ru-RU"/>
        </w:rPr>
        <w:t xml:space="preserve"> Д</w:t>
      </w:r>
      <w:proofErr w:type="gramEnd"/>
      <w:r w:rsidRPr="00F96F96">
        <w:rPr>
          <w:szCs w:val="14"/>
          <w:lang w:eastAsia="ru-RU"/>
        </w:rPr>
        <w:t>ля производства мяса в блоках и субпродуктов в блоках используют следующее сырье: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говядину от молодых животных первой или второй категории остывшую или охлажденную по ГОСТ 779;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говядину от молодых животных первой категории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52478 и полученную при ее разделке: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говядину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ткани не более 9,0%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говядину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и соединительной ткани не более 12,0%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говядину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и соединительной ткани не более 20,0%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телятину в тушах и полутушах остывшую или охлажденную по ГОСТ 16867 и полученную при ее разделке: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телятину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ткани не более 9,0%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свинину от молодых животных второй категории остывшую или охлажденную, без шкуры по ГОСТ 7724 и [6] и полученную при ее разделке: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свинину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ткани от 13,0% до 17,0%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свинину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ткани от 28,0% до 32,0%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.,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свинину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ткани не более 50,0%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t>конину</w:t>
      </w:r>
      <w:proofErr w:type="gramEnd"/>
      <w:r w:rsidRPr="00F96F96">
        <w:rPr>
          <w:szCs w:val="14"/>
          <w:lang w:eastAsia="ru-RU"/>
        </w:rPr>
        <w:t xml:space="preserve"> от молодых животных первой категории остывшую или охлажденную по ГОСТ 27095 и полученную при ее разделке: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конину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и соединительной ткани до 12,0%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t>баранину</w:t>
      </w:r>
      <w:proofErr w:type="gramEnd"/>
      <w:r w:rsidRPr="00F96F96">
        <w:rPr>
          <w:szCs w:val="14"/>
          <w:lang w:eastAsia="ru-RU"/>
        </w:rPr>
        <w:t xml:space="preserve"> от молодых животных остывшую или охлажденную по ГОСТ 1935 и полученную при ее разделке: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баранину </w:t>
      </w:r>
      <w:proofErr w:type="spellStart"/>
      <w:r w:rsidRPr="00F96F96">
        <w:rPr>
          <w:szCs w:val="14"/>
          <w:lang w:eastAsia="ru-RU"/>
        </w:rPr>
        <w:t>жилованную</w:t>
      </w:r>
      <w:proofErr w:type="spellEnd"/>
      <w:r w:rsidRPr="00F96F96">
        <w:rPr>
          <w:szCs w:val="14"/>
          <w:lang w:eastAsia="ru-RU"/>
        </w:rPr>
        <w:t xml:space="preserve"> массовой долей жировой и соединительной ткани не более 12,0%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t>субпродукты мясные (говяжьи, свиные, бараньи, конские) обработанные и охлажденные по [7]: печень, язык, сердце.</w:t>
      </w:r>
      <w:proofErr w:type="gram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5.2.2 Используемое мясное сырье по показателям безопасности должно соответствовать требованиям, установленным нормативными правовыми актами Российской Федерации*, и сопровождаться удостоверением качества.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_________________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* До введения соответствующих нормативных актов Российской Федерации – нормативными документами федеральных органов исполнительной власти [3], [4], [5], [8].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Мясное сырье должно быть получено от скота, производимого в соответствии с ветеринарно-зоотехническими правилами выращивания и откорма без применения стимуляторов роста, гормональных препаратов, кормовых антибиотиков, синтетических азотсодержащих веществ, </w:t>
      </w:r>
      <w:r w:rsidRPr="00F96F96">
        <w:rPr>
          <w:szCs w:val="14"/>
          <w:lang w:eastAsia="ru-RU"/>
        </w:rPr>
        <w:lastRenderedPageBreak/>
        <w:t>продуктов микробного синтеза и других видов нетрадиционных кормовых средств, и должно отвечать требованиям к мясному сырью для детского питания.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Ветеринарно-санитарная экспертиза сырья должна исключать возможность использования мяса животных, пораженных губчатой энцефалопатией, и поступление его из регионов, в которых имеются случаи этого заболевания.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Примечания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</w:t>
      </w:r>
      <w:proofErr w:type="gramStart"/>
      <w:r w:rsidRPr="00F96F96">
        <w:rPr>
          <w:szCs w:val="14"/>
          <w:lang w:eastAsia="ru-RU"/>
        </w:rPr>
        <w:t xml:space="preserve"> Н</w:t>
      </w:r>
      <w:proofErr w:type="gramEnd"/>
      <w:r w:rsidRPr="00F96F96">
        <w:rPr>
          <w:szCs w:val="14"/>
          <w:lang w:eastAsia="ru-RU"/>
        </w:rPr>
        <w:t>е допускается применение мяса быков, хряков и мяса от тощих животных.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2</w:t>
      </w:r>
      <w:proofErr w:type="gramStart"/>
      <w:r w:rsidRPr="00F96F96">
        <w:rPr>
          <w:szCs w:val="14"/>
          <w:lang w:eastAsia="ru-RU"/>
        </w:rPr>
        <w:t xml:space="preserve"> Н</w:t>
      </w:r>
      <w:proofErr w:type="gramEnd"/>
      <w:r w:rsidRPr="00F96F96">
        <w:rPr>
          <w:szCs w:val="14"/>
          <w:lang w:eastAsia="ru-RU"/>
        </w:rPr>
        <w:t xml:space="preserve">е допускается мясное сырье, полученное от </w:t>
      </w:r>
      <w:proofErr w:type="spellStart"/>
      <w:r w:rsidRPr="00F96F96">
        <w:rPr>
          <w:szCs w:val="14"/>
          <w:lang w:eastAsia="ru-RU"/>
        </w:rPr>
        <w:t>трансгенных</w:t>
      </w:r>
      <w:proofErr w:type="spellEnd"/>
      <w:r w:rsidRPr="00F96F96">
        <w:rPr>
          <w:szCs w:val="14"/>
          <w:lang w:eastAsia="ru-RU"/>
        </w:rPr>
        <w:t xml:space="preserve"> животных.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5.3 Маркировка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5.3.1 Маркировка должна быть четкой, средства для маркировки не должны влиять на показатели качества мяса в блоках и субпродуктов в блоках и должны быть изготовлены из материалов, допущенных в установленном порядке для контакта с пищевыми продуктами или с данной группой продуктов.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5.3.2 Маркировка продукта в потребительской таре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51074 с дополнением: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наименования мяса в блоках или субпродуктов в блоках, вида (класс</w:t>
      </w:r>
      <w:proofErr w:type="gramStart"/>
      <w:r w:rsidRPr="00F96F96">
        <w:rPr>
          <w:szCs w:val="14"/>
          <w:lang w:eastAsia="ru-RU"/>
        </w:rPr>
        <w:t xml:space="preserve"> А</w:t>
      </w:r>
      <w:proofErr w:type="gramEnd"/>
      <w:r w:rsidRPr="00F96F96">
        <w:rPr>
          <w:szCs w:val="14"/>
          <w:lang w:eastAsia="ru-RU"/>
        </w:rPr>
        <w:t xml:space="preserve"> или Б), группы и подгруппы.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Этикетка должна быть в полимерной обертке или наклеена на упаковку, или вложена в нее.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5.3.3 Транспортная маркировка по ГОСТ 14192 с дополнительным нанесением манипуляционных знаков: “Скоропортящийся груз” и “Ограничение температуры”, дополнительным грифом “Для детского питания”.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5.3.4</w:t>
      </w:r>
      <w:proofErr w:type="gramStart"/>
      <w:r w:rsidRPr="00F96F96">
        <w:rPr>
          <w:szCs w:val="14"/>
          <w:lang w:eastAsia="ru-RU"/>
        </w:rPr>
        <w:t xml:space="preserve"> Н</w:t>
      </w:r>
      <w:proofErr w:type="gramEnd"/>
      <w:r w:rsidRPr="00F96F96">
        <w:rPr>
          <w:szCs w:val="14"/>
          <w:lang w:eastAsia="ru-RU"/>
        </w:rPr>
        <w:t>а каждую упаковочную единицу транспортной тары наносят маркировку с двух торцевых сторон при помощи штампа, трафарета, ярлыка или другим способом, содержащую следующие данные: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наименование мяса в блоках или субпродуктов в блоках, вида (класс</w:t>
      </w:r>
      <w:proofErr w:type="gramStart"/>
      <w:r w:rsidRPr="00F96F96">
        <w:rPr>
          <w:szCs w:val="14"/>
          <w:lang w:eastAsia="ru-RU"/>
        </w:rPr>
        <w:t xml:space="preserve"> А</w:t>
      </w:r>
      <w:proofErr w:type="gramEnd"/>
      <w:r w:rsidRPr="00F96F96">
        <w:rPr>
          <w:szCs w:val="14"/>
          <w:lang w:eastAsia="ru-RU"/>
        </w:rPr>
        <w:t xml:space="preserve"> или Б), группы и подгруппы;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F96F96">
        <w:rPr>
          <w:szCs w:val="14"/>
          <w:lang w:eastAsia="ru-RU"/>
        </w:rPr>
        <w:t>с(</w:t>
      </w:r>
      <w:proofErr w:type="gramEnd"/>
      <w:r w:rsidRPr="00F96F96">
        <w:rPr>
          <w:szCs w:val="14"/>
          <w:lang w:eastAsia="ru-RU"/>
        </w:rPr>
        <w:t>а) производств(а) и организации в Российской Федерации, уполномоченной изготовителем на принятие претензий от потребителей на ее территории (при наличии)];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товарный знак (при наличии);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массу нетто;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дату изготовления и дату упаковывания;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термическое состояние;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условия хранения;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срок годности;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пищевую ценность (в соответствии с приложением А);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обозначение настоящего стандарта;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информацию о подтверждении соответствия.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5.3.5 Маркировка мяса в блоках и субпродуктов в блоках, направляемых в районы Крайнего Севера и приравненные к ним местности, – по ГОСТ 15846.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5.4 Упаковка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gramStart"/>
      <w:r w:rsidRPr="00F96F96">
        <w:rPr>
          <w:szCs w:val="14"/>
          <w:lang w:eastAsia="ru-RU"/>
        </w:rPr>
        <w:t>5.4.1 Тара, упаковочные материалы и скрепляющие средства должны соответствовать требованиям санитарии по документам, в соответствии с которыми они изготовлены, и обеспечивать сохранность и товарный вид мяса и субпродуктов в блоках при транспортировании и хранении в течение всего срока годности, а также должны быть разрешены в установленном порядке для контакта с продукцией данной группы.</w:t>
      </w:r>
      <w:proofErr w:type="gram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5.4.2</w:t>
      </w:r>
      <w:proofErr w:type="gramStart"/>
      <w:r w:rsidRPr="00F96F96">
        <w:rPr>
          <w:szCs w:val="14"/>
          <w:lang w:eastAsia="ru-RU"/>
        </w:rPr>
        <w:t xml:space="preserve"> Д</w:t>
      </w:r>
      <w:proofErr w:type="gramEnd"/>
      <w:r w:rsidRPr="00F96F96">
        <w:rPr>
          <w:szCs w:val="14"/>
          <w:lang w:eastAsia="ru-RU"/>
        </w:rPr>
        <w:t>опускается использовать тару и упаковочные материалы, закупаемые по импорту или изготовленные из импортных материалов, разрешенные уполномоченными органами для контакта с данной группой продукции, обеспечивающие сохранность и качество продукции при транспортировании и хранении в течение всего срока годности.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5.4.3 Тара должна быть чистой, сухой, без постороннего запаха.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5.4.4 Тара, бывшая в употреблении, должна быть обработана дезинфицирующими средствами в соответствии с ветеринарно-санитарными правилами, утвержденными в установленном порядке.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5.4.5 Мясо в блоках и субпродукты в блоках должны быть одного вида, класса, группы и подгруппы.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Укладка мясного сырья в блоки – плотная.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5.4.6 Масса нетто одной упаковочной единицы (без транспортной тары) – не более 20 кг.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Перед замораживанием допускается упаковка мяса в блоках и субпродуктов в пакеты или обертки из полимерной пленки. Для местной реализации внутри предприятия, производящего мясо в блоках и субпродукты в блоках, допускается использование замороженных блоков без упаковки.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 согласованию с потребителем допускается отгрузка блоков в упаковке, в которой производили их замораживание, в пакетированном виде.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5.4.7 Замороженные блоки, сформированные в транспортный пакет с ненарушенными средствами скрепления пакета, принимают и отпускают без взвешивания по массе нетто и брутто, определяемой предприятием-изготовителем и указанной в транспортной маркировке, нанесенной с двух сторон на каждый пакет.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5.4.8</w:t>
      </w:r>
      <w:proofErr w:type="gramStart"/>
      <w:r w:rsidRPr="00F96F96">
        <w:rPr>
          <w:szCs w:val="14"/>
          <w:lang w:eastAsia="ru-RU"/>
        </w:rPr>
        <w:t xml:space="preserve"> Н</w:t>
      </w:r>
      <w:proofErr w:type="gramEnd"/>
      <w:r w:rsidRPr="00F96F96">
        <w:rPr>
          <w:szCs w:val="14"/>
          <w:lang w:eastAsia="ru-RU"/>
        </w:rPr>
        <w:t>а длительное хранение поставку замороженных блоков, упакованных в ящики из гофрированного картона, осуществляют только в пакетированном виде.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5.4.9 Пределы допускаемых отрицательных отклонений от номинальной массы нетто упаковочной единицы по ГОСТ 8.579 и таблице 3.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Таблица 3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35"/>
        <w:gridCol w:w="2790"/>
        <w:gridCol w:w="2805"/>
      </w:tblGrid>
      <w:tr w:rsidR="00F96F96" w:rsidRPr="00F96F96" w:rsidTr="00F96F96">
        <w:trPr>
          <w:tblCellSpacing w:w="0" w:type="dxa"/>
          <w:jc w:val="center"/>
        </w:trPr>
        <w:tc>
          <w:tcPr>
            <w:tcW w:w="313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Номинальная масса нетто</w:t>
            </w:r>
            <w:proofErr w:type="gramStart"/>
            <w:r w:rsidRPr="00F96F96">
              <w:rPr>
                <w:szCs w:val="14"/>
                <w:lang w:eastAsia="ru-RU"/>
              </w:rPr>
              <w:t> ,</w:t>
            </w:r>
            <w:proofErr w:type="gramEnd"/>
            <w:r w:rsidRPr="00F96F96">
              <w:rPr>
                <w:szCs w:val="14"/>
                <w:lang w:eastAsia="ru-RU"/>
              </w:rPr>
              <w:t xml:space="preserve"> кг</w:t>
            </w:r>
          </w:p>
        </w:tc>
        <w:tc>
          <w:tcPr>
            <w:tcW w:w="5595" w:type="dxa"/>
            <w:gridSpan w:val="2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Предел допускаемых отрицательных отклонений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3135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% от массы</w:t>
            </w:r>
          </w:p>
        </w:tc>
        <w:tc>
          <w:tcPr>
            <w:tcW w:w="280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г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3135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Св. 10 до 15 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79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-</w:t>
            </w:r>
          </w:p>
        </w:tc>
        <w:tc>
          <w:tcPr>
            <w:tcW w:w="280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150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3135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Св. 15 до 50 </w:t>
            </w:r>
            <w:proofErr w:type="spellStart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proofErr w:type="spellEnd"/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79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1,0</w:t>
            </w:r>
          </w:p>
        </w:tc>
        <w:tc>
          <w:tcPr>
            <w:tcW w:w="280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-</w:t>
            </w:r>
          </w:p>
        </w:tc>
      </w:tr>
    </w:tbl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5.4.10 Упаковка мяса в блоках и субпродуктов в блоках, отправляемых в районы Крайнего Севера и приравненные к ним местности, – по ГОСТ 15846.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6 Правила приемки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6.1 Мясо в блоках и субпродукты в блоках принимают партиями. Под партией понимают любое количество мяса в блоках и субпродуктов в блоках одного вида, класса, группы и подгруппы, выработанных в течение одной смены, предъявленное к одновременной сдаче-приемке, </w:t>
      </w:r>
      <w:r w:rsidRPr="00F96F96">
        <w:rPr>
          <w:szCs w:val="14"/>
          <w:lang w:eastAsia="ru-RU"/>
        </w:rPr>
        <w:lastRenderedPageBreak/>
        <w:t>оформленное одним ветеринарным свидетельством и одним удостоверением качества, где указывают: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номер удостоверения и дату его выдачи;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наименование изготовителя и его адрес;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наименование продукта;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термическое состояние;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дату изготовления;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номер партии;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срок годности;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условия хранения;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результаты текущего контроля;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обозначение настоящего стандарта;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- информацию о подтверждении соответствия.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6.2</w:t>
      </w:r>
      <w:proofErr w:type="gramStart"/>
      <w:r w:rsidRPr="00F96F96">
        <w:rPr>
          <w:szCs w:val="14"/>
          <w:lang w:eastAsia="ru-RU"/>
        </w:rPr>
        <w:t xml:space="preserve"> Д</w:t>
      </w:r>
      <w:proofErr w:type="gramEnd"/>
      <w:r w:rsidRPr="00F96F96">
        <w:rPr>
          <w:szCs w:val="14"/>
          <w:lang w:eastAsia="ru-RU"/>
        </w:rPr>
        <w:t>ля оценки качества мяса в блоках и субпродуктов в блоках проводят выборку упаковочных единиц из разных мест партии в зависимости от ее объема в соответствии с числом, указанным в таблице 4.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Таблица 4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85"/>
        <w:gridCol w:w="4140"/>
      </w:tblGrid>
      <w:tr w:rsidR="00F96F96" w:rsidRPr="00F96F96" w:rsidTr="00F96F96">
        <w:trPr>
          <w:tblCellSpacing w:w="0" w:type="dxa"/>
          <w:jc w:val="center"/>
        </w:trPr>
        <w:tc>
          <w:tcPr>
            <w:tcW w:w="448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Объем партии (число упаковочных единиц), шт.</w:t>
            </w:r>
          </w:p>
        </w:tc>
        <w:tc>
          <w:tcPr>
            <w:tcW w:w="414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Число отобранных упаковочных единиц, шт.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48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 xml:space="preserve">До 10 </w:t>
            </w:r>
            <w:proofErr w:type="spellStart"/>
            <w:r w:rsidRPr="00F96F96">
              <w:rPr>
                <w:szCs w:val="14"/>
                <w:lang w:eastAsia="ru-RU"/>
              </w:rPr>
              <w:t>включ</w:t>
            </w:r>
            <w:proofErr w:type="spellEnd"/>
            <w:r w:rsidRPr="00F96F96">
              <w:rPr>
                <w:szCs w:val="14"/>
                <w:lang w:eastAsia="ru-RU"/>
              </w:rPr>
              <w:t>.</w:t>
            </w:r>
          </w:p>
        </w:tc>
        <w:tc>
          <w:tcPr>
            <w:tcW w:w="414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3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48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 xml:space="preserve">От 11 до 100 </w:t>
            </w:r>
            <w:proofErr w:type="spellStart"/>
            <w:r w:rsidRPr="00F96F96">
              <w:rPr>
                <w:szCs w:val="14"/>
                <w:lang w:eastAsia="ru-RU"/>
              </w:rPr>
              <w:t>включ</w:t>
            </w:r>
            <w:proofErr w:type="spellEnd"/>
            <w:r w:rsidRPr="00F96F96">
              <w:rPr>
                <w:szCs w:val="14"/>
                <w:lang w:eastAsia="ru-RU"/>
              </w:rPr>
              <w:t>.</w:t>
            </w:r>
          </w:p>
        </w:tc>
        <w:tc>
          <w:tcPr>
            <w:tcW w:w="414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5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48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 xml:space="preserve">От 101 до 1000 </w:t>
            </w:r>
            <w:proofErr w:type="spellStart"/>
            <w:r w:rsidRPr="00F96F96">
              <w:rPr>
                <w:szCs w:val="14"/>
                <w:lang w:eastAsia="ru-RU"/>
              </w:rPr>
              <w:t>включ</w:t>
            </w:r>
            <w:proofErr w:type="spellEnd"/>
            <w:r w:rsidRPr="00F96F96">
              <w:rPr>
                <w:szCs w:val="14"/>
                <w:lang w:eastAsia="ru-RU"/>
              </w:rPr>
              <w:t>.</w:t>
            </w:r>
          </w:p>
        </w:tc>
        <w:tc>
          <w:tcPr>
            <w:tcW w:w="414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10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448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Св. 1000</w:t>
            </w:r>
          </w:p>
        </w:tc>
        <w:tc>
          <w:tcPr>
            <w:tcW w:w="414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15</w:t>
            </w:r>
          </w:p>
        </w:tc>
      </w:tr>
    </w:tbl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6.3 Органолептические показатели: внешний вид, цвет, запах определяют в каждой партии мяса в блоках и субпродуктов в блоках.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6.4 В случаях разногласия по составу мяса и субпродуктов в блоках, а также по требованию контролирующих организаций проводят гистологическую идентификацию состава продукта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51604, ГОСТ Р 52480.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6.5 Порядок и периодичность контроля микробиологических показателей, содержание токсичных элементов (свинца, мышьяка, кадмия, ртути), антибиотиков, пестицидов и радионуклидов устанавливает изготовитель продукции в программе производственного контроля по согласованию с территориальным уполномоченным органом в установленном порядке.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6.6</w:t>
      </w:r>
      <w:proofErr w:type="gramStart"/>
      <w:r w:rsidRPr="00F96F96">
        <w:rPr>
          <w:szCs w:val="14"/>
          <w:lang w:eastAsia="ru-RU"/>
        </w:rPr>
        <w:t xml:space="preserve"> П</w:t>
      </w:r>
      <w:proofErr w:type="gramEnd"/>
      <w:r w:rsidRPr="00F96F96">
        <w:rPr>
          <w:szCs w:val="14"/>
          <w:lang w:eastAsia="ru-RU"/>
        </w:rPr>
        <w:t>ри получении неудовлетворительных результатов испытаний хотя бы по одному из показателей проводят повторные испытания на удвоенной выборке, взятой из той же партии. Результаты повторных испытаний распространяются на всю партию.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7 Методы контроля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7.1 Отбор и подготовка проб к испытаниям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51448, ГОСТ Р 51447 (для коммерческих целей), ГОСТ 7269, ГОСТ 26668, ГОСТ 26669, ГОСТ 26670, ГОСТ 26929.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Общие требования проведения микробиологических испытаний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51446.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7.2 Определение органолептических показателей – по ГОСТ 7269.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7.3 Определение свежести мяса и субпродуктов в блоках – по ГОСТ 19496, ГОСТ 23392.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7.4 Определение массовой доли белка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50453, ГОСТ 25011.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7.5 Содержание массовой доли жира – по ГОСТ 23042.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7.6 Определение микробиологических показателей: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патогенные микроорганизмы, в том числе сальмонеллы,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50455, ГОСТ 21237, ГОСТ 30519;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spellStart"/>
      <w:r w:rsidRPr="00F96F96">
        <w:rPr>
          <w:szCs w:val="14"/>
          <w:lang w:eastAsia="ru-RU"/>
        </w:rPr>
        <w:t>L.monocytogenes</w:t>
      </w:r>
      <w:proofErr w:type="spellEnd"/>
      <w:r w:rsidRPr="00F96F96">
        <w:rPr>
          <w:szCs w:val="14"/>
          <w:lang w:eastAsia="ru-RU"/>
        </w:rPr>
        <w:t xml:space="preserve">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51921;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споры </w:t>
      </w:r>
      <w:proofErr w:type="spellStart"/>
      <w:r w:rsidRPr="00F96F96">
        <w:rPr>
          <w:szCs w:val="14"/>
          <w:lang w:eastAsia="ru-RU"/>
        </w:rPr>
        <w:t>мезофильных</w:t>
      </w:r>
      <w:proofErr w:type="spellEnd"/>
      <w:r w:rsidRPr="00F96F96">
        <w:rPr>
          <w:szCs w:val="14"/>
          <w:lang w:eastAsia="ru-RU"/>
        </w:rPr>
        <w:t xml:space="preserve"> и </w:t>
      </w:r>
      <w:proofErr w:type="gramStart"/>
      <w:r w:rsidRPr="00F96F96">
        <w:rPr>
          <w:szCs w:val="14"/>
          <w:lang w:eastAsia="ru-RU"/>
        </w:rPr>
        <w:t>термофильных</w:t>
      </w:r>
      <w:proofErr w:type="gramEnd"/>
      <w:r w:rsidRPr="00F96F96">
        <w:rPr>
          <w:szCs w:val="14"/>
          <w:lang w:eastAsia="ru-RU"/>
        </w:rPr>
        <w:t xml:space="preserve"> </w:t>
      </w:r>
      <w:proofErr w:type="spellStart"/>
      <w:r w:rsidRPr="00F96F96">
        <w:rPr>
          <w:szCs w:val="14"/>
          <w:lang w:eastAsia="ru-RU"/>
        </w:rPr>
        <w:t>клостридий</w:t>
      </w:r>
      <w:proofErr w:type="spellEnd"/>
      <w:r w:rsidRPr="00F96F96">
        <w:rPr>
          <w:szCs w:val="14"/>
          <w:lang w:eastAsia="ru-RU"/>
        </w:rPr>
        <w:t xml:space="preserve"> – по ГОСТ 10444.9;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proofErr w:type="spellStart"/>
      <w:r w:rsidRPr="00F96F96">
        <w:rPr>
          <w:szCs w:val="14"/>
          <w:lang w:eastAsia="ru-RU"/>
        </w:rPr>
        <w:t>мезофильные</w:t>
      </w:r>
      <w:proofErr w:type="spellEnd"/>
      <w:r w:rsidRPr="00F96F96">
        <w:rPr>
          <w:szCs w:val="14"/>
          <w:lang w:eastAsia="ru-RU"/>
        </w:rPr>
        <w:t xml:space="preserve"> аэробные и факультативно-анаэробные микроорганизмы (</w:t>
      </w:r>
      <w:proofErr w:type="spellStart"/>
      <w:r w:rsidRPr="00F96F96">
        <w:rPr>
          <w:szCs w:val="14"/>
          <w:lang w:eastAsia="ru-RU"/>
        </w:rPr>
        <w:t>КМАФАнМ</w:t>
      </w:r>
      <w:proofErr w:type="spellEnd"/>
      <w:r w:rsidRPr="00F96F96">
        <w:rPr>
          <w:szCs w:val="14"/>
          <w:lang w:eastAsia="ru-RU"/>
        </w:rPr>
        <w:t>) – по ГОСТ 10444.15, бактерии группы кишечных палочек (</w:t>
      </w:r>
      <w:proofErr w:type="spellStart"/>
      <w:r w:rsidRPr="00F96F96">
        <w:rPr>
          <w:szCs w:val="14"/>
          <w:lang w:eastAsia="ru-RU"/>
        </w:rPr>
        <w:t>колиформ</w:t>
      </w:r>
      <w:proofErr w:type="spellEnd"/>
      <w:r w:rsidRPr="00F96F96">
        <w:rPr>
          <w:szCs w:val="14"/>
          <w:lang w:eastAsia="ru-RU"/>
        </w:rPr>
        <w:t xml:space="preserve">)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50454, ГОСТ 30518.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7.7 Определение токсичных элементов: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ртути – по ГОСТ 26927, [9];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мышьяка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51766, ГОСТ Р 51962, ГОСТ 26930, ГОСТ 30538;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 xml:space="preserve">свинца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51301, ГОСТ 26932, ГОСТ 30178, ГОСТ 30538;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кадмия – по ГОСТ </w:t>
      </w:r>
      <w:proofErr w:type="gramStart"/>
      <w:r w:rsidRPr="00F96F96">
        <w:rPr>
          <w:szCs w:val="14"/>
          <w:lang w:eastAsia="ru-RU"/>
        </w:rPr>
        <w:t>Р</w:t>
      </w:r>
      <w:proofErr w:type="gramEnd"/>
      <w:r w:rsidRPr="00F96F96">
        <w:rPr>
          <w:szCs w:val="14"/>
          <w:lang w:eastAsia="ru-RU"/>
        </w:rPr>
        <w:t xml:space="preserve"> 51301, ГОСТ 26933, ГОСТ 30178, ГОСТ 30538, [10], [11], [12].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7.8 Определение пестицидов – по [13], [14], [15].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7.9 Определение антибиотиков – по [16], [17], [18].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7.10 Определение радионуклидов – по [19].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7.11 Температуру мяса в блоках и субпродуктов в блоках определяют в толще тканей на глубине не менее 1 см жидкостным (</w:t>
      </w:r>
      <w:proofErr w:type="spellStart"/>
      <w:r w:rsidRPr="00F96F96">
        <w:rPr>
          <w:szCs w:val="14"/>
          <w:lang w:eastAsia="ru-RU"/>
        </w:rPr>
        <w:t>нертутным</w:t>
      </w:r>
      <w:proofErr w:type="spellEnd"/>
      <w:r w:rsidRPr="00F96F96">
        <w:rPr>
          <w:szCs w:val="14"/>
          <w:lang w:eastAsia="ru-RU"/>
        </w:rPr>
        <w:t>) термометром, цифровым термометром [20] или другими аналогичными измерительными приборами.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7.12</w:t>
      </w:r>
      <w:proofErr w:type="gramStart"/>
      <w:r w:rsidRPr="00F96F96">
        <w:rPr>
          <w:szCs w:val="14"/>
          <w:lang w:eastAsia="ru-RU"/>
        </w:rPr>
        <w:t xml:space="preserve"> Д</w:t>
      </w:r>
      <w:proofErr w:type="gramEnd"/>
      <w:r w:rsidRPr="00F96F96">
        <w:rPr>
          <w:szCs w:val="14"/>
          <w:lang w:eastAsia="ru-RU"/>
        </w:rPr>
        <w:t>опускается применение других аттестованных методов контроля с метрологическими характеристиками не ниже характеристик методов, указанных в данном разделе.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 8 Транспортирование и хранение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8.1 Мясо в блоках и субпродукты в блоках транспортируют всеми видами транспорта в изотермических транспортных средствах в соответствии с правилами перевозки скоропортящихся грузов, действующими на соответствующем виде транспорта.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8.2 Мясо в блоках и субпродукты в блоках хранят при относительной влажности воздуха не менее 85% и температуре не выше минус 18 °С.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Рекомендуемый срок годности и реализации мяса и субпродуктов в блоках при температуре минус (18±2) °</w:t>
      </w:r>
      <w:proofErr w:type="gramStart"/>
      <w:r w:rsidRPr="00F96F96">
        <w:rPr>
          <w:szCs w:val="14"/>
          <w:lang w:eastAsia="ru-RU"/>
        </w:rPr>
        <w:t>С</w:t>
      </w:r>
      <w:proofErr w:type="gramEnd"/>
      <w:r w:rsidRPr="00F96F96">
        <w:rPr>
          <w:szCs w:val="14"/>
          <w:lang w:eastAsia="ru-RU"/>
        </w:rPr>
        <w:t xml:space="preserve"> не более 6 мес.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Хранят мясо в блоках и субпродукты в блоках на поддонах или штабелями на напольных решетках с прокладкой рядов деревянными рейками толщиной 50 мм через каждые 80-100 см высоты штабеля.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Плотность укладки блоков в 1 м грузового объема должна составлять, кг: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800 – для блоков, не упакованных в транспортную тару;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600 – для блоков, упакованных в транспортную тару.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При складировании блоков в штабеля необходимо учитывать максимально допустимую нагрузку на перекрытия многоэтажных холодильников.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8.3 Транспортирование и хранение мяса в блоках и субпродуктов в блоках, отправляемых в районы Крайнего Севера и приравненные к ним местности, – по ГОСТ 15846.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Приложение</w:t>
      </w:r>
      <w:proofErr w:type="gramStart"/>
      <w:r w:rsidRPr="00F96F96">
        <w:rPr>
          <w:szCs w:val="14"/>
          <w:lang w:eastAsia="ru-RU"/>
        </w:rPr>
        <w:t xml:space="preserve"> А</w:t>
      </w:r>
      <w:proofErr w:type="gram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(справочное)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Информационные сведения о пищевой и энергетической ценности 100 г продукта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60"/>
        <w:gridCol w:w="1485"/>
        <w:gridCol w:w="2265"/>
        <w:gridCol w:w="2655"/>
      </w:tblGrid>
      <w:tr w:rsidR="00F96F96" w:rsidRPr="00F96F96" w:rsidTr="00F96F96">
        <w:trPr>
          <w:tblCellSpacing w:w="0" w:type="dxa"/>
          <w:jc w:val="center"/>
        </w:trPr>
        <w:tc>
          <w:tcPr>
            <w:tcW w:w="2460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>Наименование продукта</w:t>
            </w:r>
          </w:p>
        </w:tc>
        <w:tc>
          <w:tcPr>
            <w:tcW w:w="148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 xml:space="preserve">Белок, </w:t>
            </w:r>
            <w:proofErr w:type="gramStart"/>
            <w:r w:rsidRPr="00F96F96">
              <w:rPr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226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 xml:space="preserve">Жир, </w:t>
            </w:r>
            <w:proofErr w:type="gramStart"/>
            <w:r w:rsidRPr="00F96F96">
              <w:rPr>
                <w:szCs w:val="14"/>
                <w:lang w:eastAsia="ru-RU"/>
              </w:rPr>
              <w:t>г</w:t>
            </w:r>
            <w:proofErr w:type="gramEnd"/>
          </w:p>
        </w:tc>
        <w:tc>
          <w:tcPr>
            <w:tcW w:w="2655" w:type="dxa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szCs w:val="14"/>
                <w:lang w:eastAsia="ru-RU"/>
              </w:rPr>
              <w:t xml:space="preserve">Калорийность, </w:t>
            </w:r>
            <w:proofErr w:type="gramStart"/>
            <w:r w:rsidRPr="00F96F96">
              <w:rPr>
                <w:szCs w:val="14"/>
                <w:lang w:eastAsia="ru-RU"/>
              </w:rPr>
              <w:t>ккал</w:t>
            </w:r>
            <w:proofErr w:type="gramEnd"/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8865" w:type="dxa"/>
            <w:gridSpan w:val="4"/>
            <w:hideMark/>
          </w:tcPr>
          <w:p w:rsidR="00F96F96" w:rsidRPr="00F96F96" w:rsidRDefault="00F96F96" w:rsidP="00F96F96">
            <w:pPr>
              <w:rPr>
                <w:szCs w:val="14"/>
                <w:lang w:eastAsia="ru-RU"/>
              </w:rPr>
            </w:pPr>
            <w:r w:rsidRPr="00F96F96">
              <w:rPr>
                <w:lang w:eastAsia="ru-RU"/>
              </w:rPr>
              <w:t>Класс</w:t>
            </w:r>
            <w:proofErr w:type="gramStart"/>
            <w:r w:rsidRPr="00F96F96">
              <w:rPr>
                <w:lang w:eastAsia="ru-RU"/>
              </w:rPr>
              <w:t xml:space="preserve"> А</w:t>
            </w:r>
            <w:proofErr w:type="gramEnd"/>
            <w:r w:rsidRPr="00F96F96">
              <w:rPr>
                <w:lang w:eastAsia="ru-RU"/>
              </w:rPr>
              <w:t xml:space="preserve"> – мясо </w:t>
            </w:r>
            <w:proofErr w:type="spellStart"/>
            <w:r w:rsidRPr="00F96F96">
              <w:rPr>
                <w:lang w:eastAsia="ru-RU"/>
              </w:rPr>
              <w:t>жилованное</w:t>
            </w:r>
            <w:proofErr w:type="spellEnd"/>
            <w:r w:rsidRPr="00F96F96">
              <w:rPr>
                <w:lang w:eastAsia="ru-RU"/>
              </w:rPr>
              <w:t>, замороженное в блоках</w:t>
            </w:r>
          </w:p>
        </w:tc>
      </w:tr>
      <w:tr w:rsidR="00F96F96" w:rsidRPr="00F96F96" w:rsidTr="00F96F96">
        <w:trPr>
          <w:tblCellSpacing w:w="0" w:type="dxa"/>
          <w:jc w:val="center"/>
        </w:trPr>
        <w:tc>
          <w:tcPr>
            <w:tcW w:w="8865" w:type="dxa"/>
            <w:gridSpan w:val="4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1 говядина</w:t>
            </w:r>
          </w:p>
        </w:tc>
      </w:tr>
    </w:tbl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Подгруппа 1.1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18,9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9,0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156,6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Подгруппа 1.2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18,8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12,0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183,2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Подгруппа 1.3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18,6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20,0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254,4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Подгруппа 1.4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19,7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9,0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159,8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2 свинина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Подгруппа 2.1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16,5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От 13,0 до 17,0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От 183,0 до 219,0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Подгруппа 2.2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15,5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 xml:space="preserve">От 28,0 до 32,0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От 314,0 до 350,0 </w:t>
      </w:r>
      <w:proofErr w:type="spellStart"/>
      <w:r w:rsidRPr="00F96F96">
        <w:rPr>
          <w:szCs w:val="14"/>
          <w:lang w:eastAsia="ru-RU"/>
        </w:rPr>
        <w:t>включ</w:t>
      </w:r>
      <w:proofErr w:type="spellEnd"/>
      <w:r w:rsidRPr="00F96F96">
        <w:rPr>
          <w:szCs w:val="14"/>
          <w:lang w:eastAsia="ru-RU"/>
        </w:rPr>
        <w:t>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Подгруппа 2.3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14,4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50,0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507,6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3 конина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22,0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12,0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196,0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4 баранина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17,2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12,0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176,8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Класс</w:t>
      </w:r>
      <w:proofErr w:type="gramStart"/>
      <w:r w:rsidRPr="00F96F96">
        <w:rPr>
          <w:lang w:eastAsia="ru-RU"/>
        </w:rPr>
        <w:t xml:space="preserve"> Б</w:t>
      </w:r>
      <w:proofErr w:type="gramEnd"/>
      <w:r w:rsidRPr="00F96F96">
        <w:rPr>
          <w:lang w:eastAsia="ru-RU"/>
        </w:rPr>
        <w:t xml:space="preserve"> – субпродукты обработанные, замороженные в блоках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Группа 1-4 (</w:t>
      </w:r>
      <w:proofErr w:type="gramStart"/>
      <w:r w:rsidRPr="00F96F96">
        <w:rPr>
          <w:lang w:eastAsia="ru-RU"/>
        </w:rPr>
        <w:t>говяжьи</w:t>
      </w:r>
      <w:proofErr w:type="gramEnd"/>
      <w:r w:rsidRPr="00F96F96">
        <w:rPr>
          <w:lang w:eastAsia="ru-RU"/>
        </w:rPr>
        <w:t>, свиные, конские, бараньи)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Печень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18,0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3,7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105,3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Язык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15,9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16,0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207,6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Сердце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16,0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3,5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95,5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    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lang w:eastAsia="ru-RU"/>
        </w:rPr>
        <w:t>Библиография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30"/>
      </w:tblGrid>
      <w:tr w:rsidR="00F96F96" w:rsidRPr="00F96F96" w:rsidTr="00F96F96">
        <w:trPr>
          <w:tblCellSpacing w:w="0" w:type="dxa"/>
          <w:jc w:val="center"/>
        </w:trPr>
        <w:tc>
          <w:tcPr>
            <w:tcW w:w="3030" w:type="dxa"/>
            <w:hideMark/>
          </w:tcPr>
          <w:p w:rsidR="00F96F96" w:rsidRPr="00F96F96" w:rsidRDefault="00F96F96" w:rsidP="00F96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6F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</w:tr>
    </w:tbl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Технологическая инструкция по производству мяса и субпродуктов, замороженных в блоках, для производства продуктов питания детей раннего возраста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[2]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Правила ветеринарного осмотра убойных животных и ветеринарно-санитарной экспертизы мяса и мясных продуктов. – М.: Минсельхоз СССР, 1988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[3]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Санитарные правила для предприятий мясной и птицеперерабатывающей промышленности. – М.: </w:t>
      </w:r>
      <w:proofErr w:type="spellStart"/>
      <w:r w:rsidRPr="00F96F96">
        <w:rPr>
          <w:szCs w:val="14"/>
          <w:lang w:eastAsia="ru-RU"/>
        </w:rPr>
        <w:t>Минмясомолпром</w:t>
      </w:r>
      <w:proofErr w:type="spellEnd"/>
      <w:r w:rsidRPr="00F96F96">
        <w:rPr>
          <w:szCs w:val="14"/>
          <w:lang w:eastAsia="ru-RU"/>
        </w:rPr>
        <w:t xml:space="preserve"> СССР и Минздрав СССР, 1970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[4]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Санитарно-гигиенические требования к производству продуктов на мясной основе для питания детей раннего возраста, 2001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[5] </w:t>
      </w:r>
      <w:proofErr w:type="spellStart"/>
      <w:r w:rsidRPr="00F96F96">
        <w:rPr>
          <w:szCs w:val="14"/>
          <w:lang w:eastAsia="ru-RU"/>
        </w:rPr>
        <w:t>СанПиН</w:t>
      </w:r>
      <w:proofErr w:type="spellEnd"/>
      <w:r w:rsidRPr="00F96F96">
        <w:rPr>
          <w:szCs w:val="14"/>
          <w:lang w:eastAsia="ru-RU"/>
        </w:rPr>
        <w:t xml:space="preserve"> 2.3.2.1078-2001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Гигиенические требования безопасности и пищевой ценности пищевых продуктов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[6] ТУ 9211-363-00419779-98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Свиньи для убоя и мясо – свинина для детского питания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[7] ТУ 9212-460-00419779-2002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Субпродукты мясные обработанные. Технические условия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[8] </w:t>
      </w:r>
      <w:proofErr w:type="spellStart"/>
      <w:r w:rsidRPr="00F96F96">
        <w:rPr>
          <w:szCs w:val="14"/>
          <w:lang w:eastAsia="ru-RU"/>
        </w:rPr>
        <w:t>СанПиН</w:t>
      </w:r>
      <w:proofErr w:type="spellEnd"/>
      <w:r w:rsidRPr="00F96F96">
        <w:rPr>
          <w:szCs w:val="14"/>
          <w:lang w:eastAsia="ru-RU"/>
        </w:rPr>
        <w:t xml:space="preserve"> 2.3.2.1940-2005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Организация детского питания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[9] МУ 5178-90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Методические указания по обнаружению и определению содержания общей ртути в пищевых продуктах методом беспламенной атомной абсорбции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[10] МУ 01-19/47-11-92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Методические указания по атомно-адсорбционным методам определения токсичных элементов в пищевых продуктах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[11] МУК 4.1.985-2000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Определение содержания токсичных элементов в пищевых продуктах и продовольственном сырье. Методика </w:t>
      </w:r>
      <w:proofErr w:type="gramStart"/>
      <w:r w:rsidRPr="00F96F96">
        <w:rPr>
          <w:szCs w:val="14"/>
          <w:lang w:eastAsia="ru-RU"/>
        </w:rPr>
        <w:t>автоклавной</w:t>
      </w:r>
      <w:proofErr w:type="gramEnd"/>
      <w:r w:rsidRPr="00F96F96">
        <w:rPr>
          <w:szCs w:val="14"/>
          <w:lang w:eastAsia="ru-RU"/>
        </w:rPr>
        <w:t xml:space="preserve"> </w:t>
      </w:r>
      <w:proofErr w:type="spellStart"/>
      <w:r w:rsidRPr="00F96F96">
        <w:rPr>
          <w:szCs w:val="14"/>
          <w:lang w:eastAsia="ru-RU"/>
        </w:rPr>
        <w:t>пробоподготовки</w:t>
      </w:r>
      <w:proofErr w:type="spellEnd"/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[12] МУК 4.1.986-2000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[13] МУ Сборник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НН-25-(1976-1997 гг.)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Определение </w:t>
      </w:r>
      <w:proofErr w:type="spellStart"/>
      <w:r w:rsidRPr="00F96F96">
        <w:rPr>
          <w:szCs w:val="14"/>
          <w:lang w:eastAsia="ru-RU"/>
        </w:rPr>
        <w:t>микроколичеств</w:t>
      </w:r>
      <w:proofErr w:type="spellEnd"/>
      <w:r w:rsidRPr="00F96F96">
        <w:rPr>
          <w:szCs w:val="14"/>
          <w:lang w:eastAsia="ru-RU"/>
        </w:rPr>
        <w:t xml:space="preserve"> пестицидов в продуктах питания, кормах и внешней среде. Методы определения </w:t>
      </w:r>
      <w:proofErr w:type="spellStart"/>
      <w:r w:rsidRPr="00F96F96">
        <w:rPr>
          <w:szCs w:val="14"/>
          <w:lang w:eastAsia="ru-RU"/>
        </w:rPr>
        <w:t>микроколичеств</w:t>
      </w:r>
      <w:proofErr w:type="spellEnd"/>
      <w:r w:rsidRPr="00F96F96">
        <w:rPr>
          <w:szCs w:val="14"/>
          <w:lang w:eastAsia="ru-RU"/>
        </w:rPr>
        <w:t xml:space="preserve"> пестицидов в продуктах питания, кормах и внешней среде / Справочник под ред. </w:t>
      </w:r>
      <w:proofErr w:type="spellStart"/>
      <w:r w:rsidRPr="00F96F96">
        <w:rPr>
          <w:szCs w:val="14"/>
          <w:lang w:eastAsia="ru-RU"/>
        </w:rPr>
        <w:t>A.M.Клисенко</w:t>
      </w:r>
      <w:proofErr w:type="spellEnd"/>
      <w:r w:rsidRPr="00F96F96">
        <w:rPr>
          <w:szCs w:val="14"/>
          <w:lang w:eastAsia="ru-RU"/>
        </w:rPr>
        <w:t>. – М., 1992 г.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[14] МУ 1222-75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Определение хлорорганических пестицидов в мясе, продуктах и животных жирах хроматографией в тонком слое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[15] МУ 2142-80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Методические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[16] МУК 4.2.026-95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Экспресс-метод определения антибиотиков в пищевых продуктах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lastRenderedPageBreak/>
        <w:t>[17] МР 4.18/1890-91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Методические рекомендации по обнаружению, идентификации и определению остаточных количеств </w:t>
      </w:r>
      <w:proofErr w:type="spellStart"/>
      <w:r w:rsidRPr="00F96F96">
        <w:rPr>
          <w:szCs w:val="14"/>
          <w:lang w:eastAsia="ru-RU"/>
        </w:rPr>
        <w:t>левомицетина</w:t>
      </w:r>
      <w:proofErr w:type="spellEnd"/>
      <w:r w:rsidRPr="00F96F96">
        <w:rPr>
          <w:szCs w:val="14"/>
          <w:lang w:eastAsia="ru-RU"/>
        </w:rPr>
        <w:t xml:space="preserve"> в продуктах животного происхождения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[18] МУ 3049-84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Методические указания по определению остаточных количеств антибиотиков в продуктах животноводства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[19] МУК 2.6.1.1194-2003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>Радиологический контроль. Стронций-90 и цезий-137. Пищевые продукты. Отбор проб, анализ и гигиеническая оценка</w:t>
      </w:r>
    </w:p>
    <w:p w:rsidR="00F96F96" w:rsidRPr="00F96F96" w:rsidRDefault="00F96F96" w:rsidP="00F96F96">
      <w:pPr>
        <w:rPr>
          <w:szCs w:val="14"/>
          <w:lang w:eastAsia="ru-RU"/>
        </w:rPr>
      </w:pPr>
      <w:r w:rsidRPr="00F96F96">
        <w:rPr>
          <w:szCs w:val="14"/>
          <w:lang w:eastAsia="ru-RU"/>
        </w:rPr>
        <w:t xml:space="preserve">[20] ТУ 4215-002-13245171-2001Термометр </w:t>
      </w:r>
      <w:proofErr w:type="gramStart"/>
      <w:r w:rsidRPr="00F96F96">
        <w:rPr>
          <w:szCs w:val="14"/>
          <w:lang w:eastAsia="ru-RU"/>
        </w:rPr>
        <w:t>цифровой</w:t>
      </w:r>
      <w:proofErr w:type="gramEnd"/>
      <w:r w:rsidRPr="00F96F96">
        <w:rPr>
          <w:szCs w:val="14"/>
          <w:lang w:eastAsia="ru-RU"/>
        </w:rPr>
        <w:t xml:space="preserve"> “Замер-1″</w:t>
      </w:r>
    </w:p>
    <w:p w:rsidR="00D22ED6" w:rsidRPr="00463141" w:rsidRDefault="00D22ED6" w:rsidP="00F96F96"/>
    <w:sectPr w:rsidR="00D22ED6" w:rsidRPr="00463141" w:rsidSect="00D22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AA" w:rsidRDefault="001156AA" w:rsidP="00EA6B90">
      <w:pPr>
        <w:spacing w:after="0" w:line="240" w:lineRule="auto"/>
      </w:pPr>
      <w:r>
        <w:separator/>
      </w:r>
    </w:p>
  </w:endnote>
  <w:endnote w:type="continuationSeparator" w:id="0">
    <w:p w:rsidR="001156AA" w:rsidRDefault="001156AA" w:rsidP="00EA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90" w:rsidRDefault="00EA6B90" w:rsidP="00EA6B90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A6B90" w:rsidRDefault="00EA6B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AA" w:rsidRDefault="001156AA" w:rsidP="00EA6B90">
      <w:pPr>
        <w:spacing w:after="0" w:line="240" w:lineRule="auto"/>
      </w:pPr>
      <w:r>
        <w:separator/>
      </w:r>
    </w:p>
  </w:footnote>
  <w:footnote w:type="continuationSeparator" w:id="0">
    <w:p w:rsidR="001156AA" w:rsidRDefault="001156AA" w:rsidP="00EA6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1156AA"/>
    <w:rsid w:val="00315E34"/>
    <w:rsid w:val="003D4F7D"/>
    <w:rsid w:val="00463141"/>
    <w:rsid w:val="00681218"/>
    <w:rsid w:val="00D22ED6"/>
    <w:rsid w:val="00EA6B90"/>
    <w:rsid w:val="00F9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3141"/>
    <w:pPr>
      <w:spacing w:after="0" w:line="240" w:lineRule="auto"/>
    </w:pPr>
  </w:style>
  <w:style w:type="character" w:styleId="a7">
    <w:name w:val="Strong"/>
    <w:basedOn w:val="a0"/>
    <w:uiPriority w:val="22"/>
    <w:qFormat/>
    <w:rsid w:val="00F96F96"/>
    <w:rPr>
      <w:b/>
      <w:bCs/>
    </w:rPr>
  </w:style>
  <w:style w:type="character" w:styleId="a8">
    <w:name w:val="Emphasis"/>
    <w:basedOn w:val="a0"/>
    <w:uiPriority w:val="20"/>
    <w:qFormat/>
    <w:rsid w:val="00F96F9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A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6B90"/>
  </w:style>
  <w:style w:type="paragraph" w:styleId="ab">
    <w:name w:val="footer"/>
    <w:basedOn w:val="a"/>
    <w:link w:val="ac"/>
    <w:uiPriority w:val="99"/>
    <w:semiHidden/>
    <w:unhideWhenUsed/>
    <w:rsid w:val="00EA6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53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036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582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2007-12-24T01:06:00Z</dcterms:created>
  <dcterms:modified xsi:type="dcterms:W3CDTF">2017-08-14T20:52:00Z</dcterms:modified>
</cp:coreProperties>
</file>